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4CE3" w14:textId="77777777" w:rsidR="00AA0957" w:rsidRPr="00BB4442" w:rsidRDefault="00AA0957" w:rsidP="00AA0957">
      <w:pPr>
        <w:pStyle w:val="Default"/>
        <w:rPr>
          <w:rFonts w:asciiTheme="minorHAnsi" w:hAnsiTheme="minorHAnsi" w:cstheme="minorHAnsi"/>
          <w:lang w:val="lv-LV"/>
        </w:rPr>
      </w:pPr>
    </w:p>
    <w:p w14:paraId="3DEC4F5F" w14:textId="2F039E53" w:rsidR="00AA0957" w:rsidRPr="00BB4442" w:rsidRDefault="00AA0957" w:rsidP="00915990">
      <w:pPr>
        <w:pStyle w:val="Default"/>
        <w:jc w:val="center"/>
        <w:rPr>
          <w:rFonts w:asciiTheme="minorHAnsi" w:hAnsiTheme="minorHAnsi" w:cstheme="minorHAnsi"/>
          <w:lang w:val="lv-LV"/>
        </w:rPr>
      </w:pPr>
      <w:r w:rsidRPr="00BB4442">
        <w:rPr>
          <w:rFonts w:asciiTheme="minorHAnsi" w:hAnsiTheme="minorHAnsi" w:cstheme="minorHAnsi"/>
          <w:lang w:val="lv-LV"/>
        </w:rPr>
        <w:t>Svarīga informācija veselības aprūpes speciālistiem par zāļu riska mazināšanu</w:t>
      </w:r>
    </w:p>
    <w:p w14:paraId="43635821" w14:textId="77777777" w:rsidR="00AA0957" w:rsidRPr="00BB4442" w:rsidRDefault="00AA0957" w:rsidP="00AA0957">
      <w:pPr>
        <w:pStyle w:val="Default"/>
        <w:rPr>
          <w:rFonts w:asciiTheme="minorHAnsi" w:hAnsiTheme="minorHAnsi" w:cstheme="minorHAnsi"/>
          <w:lang w:val="lv-LV"/>
        </w:rPr>
      </w:pPr>
    </w:p>
    <w:p w14:paraId="2F45A795" w14:textId="7EA0F374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 w:cstheme="minorHAnsi"/>
          <w:b/>
          <w:bCs/>
          <w:color w:val="202124"/>
          <w:kern w:val="0"/>
          <w:sz w:val="28"/>
          <w:szCs w:val="28"/>
          <w:lang w:val="lv-LV"/>
          <w14:ligatures w14:val="none"/>
        </w:rPr>
      </w:pPr>
      <w:r w:rsidRPr="00BB4442">
        <w:rPr>
          <w:rFonts w:eastAsia="Times New Roman" w:cstheme="minorHAnsi"/>
          <w:b/>
          <w:bCs/>
          <w:color w:val="202124"/>
          <w:kern w:val="0"/>
          <w:sz w:val="28"/>
          <w:szCs w:val="28"/>
          <w:lang w:val="lv-LV"/>
          <w14:ligatures w14:val="none"/>
        </w:rPr>
        <w:t xml:space="preserve">KONTROLSARAKSTS KOMBINĒTO HORMONĀLO KONTRACEPTĪVO </w:t>
      </w:r>
      <w:r w:rsidR="00EE3DE5" w:rsidRPr="00BB4442">
        <w:rPr>
          <w:rFonts w:eastAsia="Times New Roman" w:cstheme="minorHAnsi"/>
          <w:b/>
          <w:bCs/>
          <w:color w:val="202124"/>
          <w:kern w:val="0"/>
          <w:sz w:val="28"/>
          <w:szCs w:val="28"/>
          <w:lang w:val="lv-LV"/>
          <w14:ligatures w14:val="none"/>
        </w:rPr>
        <w:t xml:space="preserve">LĪDZEKĻU </w:t>
      </w:r>
      <w:r w:rsidRPr="00BB4442">
        <w:rPr>
          <w:rFonts w:eastAsia="Times New Roman" w:cstheme="minorHAnsi"/>
          <w:b/>
          <w:bCs/>
          <w:color w:val="202124"/>
          <w:kern w:val="0"/>
          <w:sz w:val="28"/>
          <w:szCs w:val="28"/>
          <w:lang w:val="lv-LV"/>
          <w14:ligatures w14:val="none"/>
        </w:rPr>
        <w:t>PARAKSTĪTĀJIEM</w:t>
      </w:r>
    </w:p>
    <w:p w14:paraId="1E3AC4AA" w14:textId="77777777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</w:p>
    <w:p w14:paraId="52673C2B" w14:textId="17255F9A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b/>
          <w:bCs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b/>
          <w:bCs/>
          <w:color w:val="202124"/>
          <w:kern w:val="0"/>
          <w:sz w:val="24"/>
          <w:szCs w:val="24"/>
          <w:lang w:val="lv-LV"/>
          <w14:ligatures w14:val="none"/>
        </w:rPr>
        <w:t>Apspriežot ar pacient</w:t>
      </w:r>
      <w:r w:rsidR="00B07463">
        <w:rPr>
          <w:rFonts w:eastAsia="Times New Roman" w:cstheme="minorHAnsi"/>
          <w:b/>
          <w:bCs/>
          <w:color w:val="202124"/>
          <w:kern w:val="0"/>
          <w:sz w:val="24"/>
          <w:szCs w:val="24"/>
          <w:lang w:val="lv-LV"/>
          <w14:ligatures w14:val="none"/>
        </w:rPr>
        <w:t>i</w:t>
      </w:r>
      <w:r w:rsidRPr="00BB4442">
        <w:rPr>
          <w:rFonts w:eastAsia="Times New Roman" w:cstheme="minorHAnsi"/>
          <w:b/>
          <w:bCs/>
          <w:color w:val="202124"/>
          <w:kern w:val="0"/>
          <w:sz w:val="24"/>
          <w:szCs w:val="24"/>
          <w:lang w:val="lv-LV"/>
          <w14:ligatures w14:val="none"/>
        </w:rPr>
        <w:t xml:space="preserve"> kombinēto hormonālo kontracepcijas līdzekļu lietošanu, lūdzu, izmantojiet šo kontrolsarakstu kopā ar zāļu aprakstu.</w:t>
      </w:r>
    </w:p>
    <w:p w14:paraId="7F741AD1" w14:textId="77777777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</w:p>
    <w:p w14:paraId="2435BCDD" w14:textId="77777777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• Ir svarīgi ņemt vērā, ka kombinēto hormonālo kontracepcijas līdzekļu lietošana ir saistīta ar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trombembolijas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 xml:space="preserve"> 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(piemēram, dziļo vēnu trombozes, plaušu embolijas, sirdslēkmes un insulta) risku.</w:t>
      </w:r>
    </w:p>
    <w:p w14:paraId="3C9B245B" w14:textId="5EA5D5D1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•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Trombembolijas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risks, lietojot kombinētos hormonālos kontracepcijas līdzekļus, ir </w:t>
      </w:r>
      <w:r w:rsidR="00494065"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augstāks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:</w:t>
      </w:r>
    </w:p>
    <w:p w14:paraId="26CE8822" w14:textId="483EEECA" w:rsidR="00EB1A70" w:rsidRPr="00BB4442" w:rsidRDefault="00EB1A70" w:rsidP="00915990">
      <w:pPr>
        <w:pStyle w:val="ListParagraph"/>
        <w:numPr>
          <w:ilvl w:val="0"/>
          <w:numId w:val="6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pirmajā lietošanas gadā</w:t>
      </w:r>
      <w:r w:rsidR="00E963E3"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;</w:t>
      </w:r>
    </w:p>
    <w:p w14:paraId="5C49485B" w14:textId="14773120" w:rsidR="00EB1A70" w:rsidRPr="00BB4442" w:rsidRDefault="00EB1A70" w:rsidP="00915990">
      <w:pPr>
        <w:pStyle w:val="ListParagraph"/>
        <w:numPr>
          <w:ilvl w:val="0"/>
          <w:numId w:val="6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atsākot lietošanu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pēc 4 vai vairāk nedēļu ilga pārtraukuma.</w:t>
      </w:r>
    </w:p>
    <w:p w14:paraId="0269BA42" w14:textId="42B56501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• Tiek uzskatīts, ka kombinētajiem hormonālajiem kontracepcijas līdzekļiem, kas satur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etinilestradiolu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kombinācijā ar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levonorgestrelu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 xml:space="preserve">,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norgestimātu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 xml:space="preserve"> vai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noretisteronu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, ir 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viszemākais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venozās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trombembolijas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risks.</w:t>
      </w:r>
    </w:p>
    <w:p w14:paraId="2D1B185F" w14:textId="77777777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• Risks būs atkarīgs arī no sievietes individuālajiem riskiem. Tāpēc, pieņemot lēmumu lietot kombinētos hormonālos kontracepcijas līdzekļus, jāņem vērā 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kontrindikācijas un individuālie riska faktori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, īpaši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trombembolijas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gadījumā – skatīt tālāk redzamos lodziņus un zāļu aprakstu.</w:t>
      </w:r>
    </w:p>
    <w:p w14:paraId="0382B64E" w14:textId="77777777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• Lēmums lietot jebkuru kombinēto hormonālo kontracepcijas līdzekli, kas nav saistīts ar zemāko venozās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trombembolijas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risku, jāpieņem tikai pēc apspriešanās ar sievieti.</w:t>
      </w:r>
    </w:p>
    <w:p w14:paraId="489884E2" w14:textId="2EB113B1" w:rsidR="00EB1A70" w:rsidRPr="00BB4442" w:rsidRDefault="00EB1A70" w:rsidP="009159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• Diskusijas laikā jāpārliecinās, ka sieviete saprot</w:t>
      </w:r>
      <w:r w:rsidR="004C2164"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:</w:t>
      </w:r>
    </w:p>
    <w:p w14:paraId="1E2EB4EF" w14:textId="779B8315" w:rsidR="00EB1A70" w:rsidRPr="00BB4442" w:rsidRDefault="00EB1A70" w:rsidP="00915990">
      <w:pPr>
        <w:pStyle w:val="ListParagraph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7412EC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atsevišķu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</w:t>
      </w:r>
      <w:r w:rsidRPr="007412EC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riska faktoru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ietekm</w:t>
      </w:r>
      <w:r w:rsidR="00413C11"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i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uz trombozes risku</w:t>
      </w:r>
      <w:r w:rsidR="00AD1DF8"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;</w:t>
      </w:r>
    </w:p>
    <w:p w14:paraId="00DFFEB5" w14:textId="113F031A" w:rsidR="00EB1A70" w:rsidRPr="00BB4442" w:rsidRDefault="00EB1A70" w:rsidP="00915990">
      <w:pPr>
        <w:pStyle w:val="ListParagraph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kāds ir </w:t>
      </w:r>
      <w:proofErr w:type="spellStart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trombembolijas</w:t>
      </w:r>
      <w:proofErr w:type="spellEnd"/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risks</w:t>
      </w:r>
      <w:r w:rsidR="00413C11"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saistībā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 ar izvēlēto kombinēto hormonālo kontracepcijas līdzekli</w:t>
      </w:r>
      <w:r w:rsidR="00AD1DF8"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;</w:t>
      </w:r>
    </w:p>
    <w:p w14:paraId="2C3B1CFA" w14:textId="176B7A11" w:rsidR="00EB1A70" w:rsidRPr="00BB4442" w:rsidRDefault="00EB1A70" w:rsidP="00915990">
      <w:pPr>
        <w:pStyle w:val="ListParagraph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 xml:space="preserve">cik svarīgi ir pievērst uzmanību iespējamām trombozes 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u w:val="single"/>
          <w:lang w:val="lv-LV"/>
          <w14:ligatures w14:val="none"/>
        </w:rPr>
        <w:t>pazīmēm un simptomiem</w:t>
      </w:r>
      <w:r w:rsidRPr="00BB4442"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  <w:t>.</w:t>
      </w:r>
    </w:p>
    <w:p w14:paraId="5618BE1D" w14:textId="77777777" w:rsidR="00AD1DF8" w:rsidRPr="00BB4442" w:rsidRDefault="00AD1DF8" w:rsidP="00087A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</w:p>
    <w:p w14:paraId="4108C367" w14:textId="77777777" w:rsidR="008702E2" w:rsidRPr="00BB4442" w:rsidRDefault="008702E2" w:rsidP="00087A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9532"/>
      </w:tblGrid>
      <w:tr w:rsidR="00413C11" w:rsidRPr="00BB4442" w14:paraId="649D1BEB" w14:textId="77777777" w:rsidTr="005D44C4">
        <w:trPr>
          <w:trHeight w:val="496"/>
        </w:trPr>
        <w:tc>
          <w:tcPr>
            <w:tcW w:w="10025" w:type="dxa"/>
            <w:gridSpan w:val="2"/>
            <w:shd w:val="clear" w:color="auto" w:fill="auto"/>
          </w:tcPr>
          <w:p w14:paraId="66304392" w14:textId="211D1CF0" w:rsidR="00413C11" w:rsidRPr="00BB4442" w:rsidRDefault="00413C11" w:rsidP="00087A3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202124"/>
                <w:kern w:val="0"/>
                <w:sz w:val="24"/>
                <w:szCs w:val="24"/>
                <w:lang w:val="lv-LV"/>
                <w14:ligatures w14:val="none"/>
              </w:rPr>
            </w:pPr>
            <w:r w:rsidRPr="00BB4442">
              <w:rPr>
                <w:rFonts w:eastAsia="Times New Roman" w:cstheme="minorHAnsi"/>
                <w:b/>
                <w:bCs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lastRenderedPageBreak/>
              <w:t>Neparakstiet kombinēto hormonālo kontracepcijas līdzekli, ja atzīmējat kādu no šīs sadaļas rūtiņām. Sievietei ir:</w:t>
            </w:r>
          </w:p>
        </w:tc>
      </w:tr>
      <w:tr w:rsidR="00413C11" w:rsidRPr="00BB4442" w14:paraId="059B583F" w14:textId="77777777" w:rsidTr="005D44C4">
        <w:trPr>
          <w:trHeight w:val="609"/>
        </w:trPr>
        <w:tc>
          <w:tcPr>
            <w:tcW w:w="493" w:type="dxa"/>
            <w:shd w:val="clear" w:color="auto" w:fill="auto"/>
            <w:vAlign w:val="center"/>
          </w:tcPr>
          <w:p w14:paraId="7A44E514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31" w:type="dxa"/>
            <w:shd w:val="clear" w:color="auto" w:fill="auto"/>
          </w:tcPr>
          <w:p w14:paraId="401520E2" w14:textId="57AB5A38" w:rsidR="00413C11" w:rsidRPr="00BB4442" w:rsidRDefault="00AD0BC6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proofErr w:type="spellStart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T</w:t>
            </w:r>
            <w:r w:rsidR="00413C11"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rombembolisk</w:t>
            </w:r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s</w:t>
            </w:r>
            <w:proofErr w:type="spellEnd"/>
            <w:r w:rsidR="00413C11"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 xml:space="preserve"> notikuma anamnēzē, piem. dziļo vēnu tromboze, plaušu embolija, sirdslēkme, insults, pārejoša </w:t>
            </w:r>
            <w:proofErr w:type="spellStart"/>
            <w:r w:rsidR="00413C11"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išēmiska</w:t>
            </w:r>
            <w:proofErr w:type="spellEnd"/>
            <w:r w:rsidR="00413C11"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 xml:space="preserve"> lēkme, stenokardija</w:t>
            </w:r>
          </w:p>
        </w:tc>
      </w:tr>
      <w:tr w:rsidR="00413C11" w:rsidRPr="00BB4442" w14:paraId="23BE7C1F" w14:textId="77777777" w:rsidTr="005D44C4">
        <w:trPr>
          <w:trHeight w:val="372"/>
        </w:trPr>
        <w:tc>
          <w:tcPr>
            <w:tcW w:w="493" w:type="dxa"/>
            <w:shd w:val="clear" w:color="auto" w:fill="auto"/>
            <w:vAlign w:val="center"/>
          </w:tcPr>
          <w:p w14:paraId="339509B5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31" w:type="dxa"/>
            <w:shd w:val="clear" w:color="auto" w:fill="auto"/>
          </w:tcPr>
          <w:p w14:paraId="77A22DA8" w14:textId="637F5BCE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 xml:space="preserve">Zināmi </w:t>
            </w:r>
            <w:proofErr w:type="spellStart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asinsreces</w:t>
            </w:r>
            <w:proofErr w:type="spellEnd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 xml:space="preserve"> traucējumi</w:t>
            </w:r>
          </w:p>
        </w:tc>
      </w:tr>
      <w:tr w:rsidR="00413C11" w:rsidRPr="00BB4442" w14:paraId="17FA6F67" w14:textId="77777777" w:rsidTr="005D44C4">
        <w:trPr>
          <w:trHeight w:val="372"/>
        </w:trPr>
        <w:tc>
          <w:tcPr>
            <w:tcW w:w="493" w:type="dxa"/>
            <w:shd w:val="clear" w:color="auto" w:fill="auto"/>
            <w:vAlign w:val="center"/>
          </w:tcPr>
          <w:p w14:paraId="5DAC6EED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31" w:type="dxa"/>
            <w:shd w:val="clear" w:color="auto" w:fill="auto"/>
          </w:tcPr>
          <w:p w14:paraId="3B2866BF" w14:textId="0CE3B65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Migrēna ar auru anamnēzē</w:t>
            </w:r>
          </w:p>
        </w:tc>
      </w:tr>
      <w:tr w:rsidR="00413C11" w:rsidRPr="00BB4442" w14:paraId="1BB98F55" w14:textId="77777777" w:rsidTr="005D44C4">
        <w:trPr>
          <w:trHeight w:val="360"/>
        </w:trPr>
        <w:tc>
          <w:tcPr>
            <w:tcW w:w="493" w:type="dxa"/>
            <w:shd w:val="clear" w:color="auto" w:fill="auto"/>
            <w:vAlign w:val="center"/>
          </w:tcPr>
          <w:p w14:paraId="7D9076DD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31" w:type="dxa"/>
            <w:shd w:val="clear" w:color="auto" w:fill="auto"/>
          </w:tcPr>
          <w:p w14:paraId="2A2D022F" w14:textId="2E64548F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Cukura diabēts ar asinsvadu komplikācijām</w:t>
            </w:r>
          </w:p>
        </w:tc>
      </w:tr>
      <w:tr w:rsidR="00413C11" w:rsidRPr="00BB4442" w14:paraId="29D0FBFF" w14:textId="77777777" w:rsidTr="005517CD">
        <w:trPr>
          <w:trHeight w:val="548"/>
        </w:trPr>
        <w:tc>
          <w:tcPr>
            <w:tcW w:w="493" w:type="dxa"/>
            <w:shd w:val="clear" w:color="auto" w:fill="auto"/>
            <w:vAlign w:val="center"/>
          </w:tcPr>
          <w:p w14:paraId="38BC6395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31" w:type="dxa"/>
            <w:shd w:val="clear" w:color="auto" w:fill="auto"/>
          </w:tcPr>
          <w:p w14:paraId="2E450B58" w14:textId="5FDA72F0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 xml:space="preserve">Ļoti augsts asinsspiediens (piemēram, </w:t>
            </w:r>
            <w:proofErr w:type="spellStart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sistoliskais</w:t>
            </w:r>
            <w:proofErr w:type="spellEnd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 xml:space="preserve"> ≥160 vai </w:t>
            </w:r>
            <w:proofErr w:type="spellStart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diastoliskais</w:t>
            </w:r>
            <w:proofErr w:type="spellEnd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 xml:space="preserve"> ≥100 </w:t>
            </w:r>
            <w:proofErr w:type="spellStart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mmHg</w:t>
            </w:r>
            <w:proofErr w:type="spellEnd"/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)</w:t>
            </w:r>
          </w:p>
        </w:tc>
      </w:tr>
      <w:tr w:rsidR="00413C11" w:rsidRPr="00BB4442" w14:paraId="38C78CF9" w14:textId="77777777" w:rsidTr="005D44C4">
        <w:trPr>
          <w:trHeight w:val="372"/>
        </w:trPr>
        <w:tc>
          <w:tcPr>
            <w:tcW w:w="493" w:type="dxa"/>
            <w:shd w:val="clear" w:color="auto" w:fill="auto"/>
            <w:vAlign w:val="center"/>
          </w:tcPr>
          <w:p w14:paraId="516034FC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31" w:type="dxa"/>
            <w:shd w:val="clear" w:color="auto" w:fill="auto"/>
          </w:tcPr>
          <w:p w14:paraId="72DD8F18" w14:textId="1FAC0416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Ļoti augsta lipīdu koncentrācija asinīs</w:t>
            </w:r>
          </w:p>
        </w:tc>
      </w:tr>
      <w:tr w:rsidR="00413C11" w:rsidRPr="00BB4442" w14:paraId="575A23F0" w14:textId="77777777" w:rsidTr="005D44C4">
        <w:trPr>
          <w:trHeight w:val="338"/>
        </w:trPr>
        <w:tc>
          <w:tcPr>
            <w:tcW w:w="493" w:type="dxa"/>
            <w:shd w:val="clear" w:color="auto" w:fill="auto"/>
            <w:vAlign w:val="center"/>
          </w:tcPr>
          <w:p w14:paraId="5A77ECAB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31" w:type="dxa"/>
            <w:shd w:val="clear" w:color="auto" w:fill="auto"/>
          </w:tcPr>
          <w:p w14:paraId="45BF4F83" w14:textId="21DB20A0" w:rsidR="00413C11" w:rsidRPr="00BB4442" w:rsidRDefault="00413C11" w:rsidP="00087A3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</w:pPr>
            <w:r w:rsidRPr="00BB4442">
              <w:rPr>
                <w:rFonts w:eastAsia="Times New Roman" w:cstheme="minorHAnsi"/>
                <w:color w:val="202124"/>
                <w:kern w:val="0"/>
                <w:sz w:val="24"/>
                <w:szCs w:val="24"/>
                <w:lang w:val="lv-LV"/>
                <w14:ligatures w14:val="none"/>
              </w:rPr>
              <w:t>Gaidāma liela operācija vai ilgstošs ​​imobilizācijas periods</w:t>
            </w:r>
          </w:p>
        </w:tc>
      </w:tr>
    </w:tbl>
    <w:p w14:paraId="72D377A3" w14:textId="77777777" w:rsidR="00EB1A70" w:rsidRPr="00BB4442" w:rsidRDefault="00EB1A70" w:rsidP="00087A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</w:p>
    <w:p w14:paraId="0DDDC424" w14:textId="77777777" w:rsidR="00BE1C72" w:rsidRPr="00BB4442" w:rsidRDefault="00BE1C72" w:rsidP="00087A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</w:p>
    <w:p w14:paraId="79DB2C76" w14:textId="77777777" w:rsidR="00BE1C72" w:rsidRPr="00BB4442" w:rsidRDefault="00BE1C72" w:rsidP="00087A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val="lv-LV"/>
          <w14:ligatures w14:val="none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9565"/>
      </w:tblGrid>
      <w:tr w:rsidR="00413C11" w:rsidRPr="00BB4442" w14:paraId="51321DCC" w14:textId="77777777" w:rsidTr="005D44C4">
        <w:trPr>
          <w:trHeight w:val="493"/>
        </w:trPr>
        <w:tc>
          <w:tcPr>
            <w:tcW w:w="10058" w:type="dxa"/>
            <w:gridSpan w:val="2"/>
            <w:shd w:val="clear" w:color="auto" w:fill="auto"/>
          </w:tcPr>
          <w:p w14:paraId="009AE439" w14:textId="367237A7" w:rsidR="00413C11" w:rsidRPr="00BB4442" w:rsidRDefault="00413C11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Pārrunājiet ar sievieti kombinētās hormonālās kontracepcijas līdzekļa piemērotību, ja šajā sadaļā atzīmējat kādu no rūtiņām:</w:t>
            </w:r>
          </w:p>
        </w:tc>
      </w:tr>
      <w:tr w:rsidR="00413C11" w:rsidRPr="00BB4442" w14:paraId="3C05AA29" w14:textId="77777777" w:rsidTr="005D44C4">
        <w:trPr>
          <w:trHeight w:val="347"/>
        </w:trPr>
        <w:tc>
          <w:tcPr>
            <w:tcW w:w="493" w:type="dxa"/>
            <w:shd w:val="clear" w:color="auto" w:fill="auto"/>
            <w:vAlign w:val="center"/>
          </w:tcPr>
          <w:p w14:paraId="0AADF2B5" w14:textId="77777777" w:rsidR="00413C11" w:rsidRPr="00BB4442" w:rsidRDefault="00413C11" w:rsidP="00087A3B">
            <w:pPr>
              <w:keepNext/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4E44AF4B" w14:textId="0F88044C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Sievietes ĶMI ir virs 30 kg/m²</w:t>
            </w:r>
          </w:p>
        </w:tc>
      </w:tr>
      <w:tr w:rsidR="00413C11" w:rsidRPr="00BB4442" w14:paraId="2A990E3C" w14:textId="77777777" w:rsidTr="005D44C4">
        <w:trPr>
          <w:trHeight w:val="336"/>
        </w:trPr>
        <w:tc>
          <w:tcPr>
            <w:tcW w:w="493" w:type="dxa"/>
            <w:shd w:val="clear" w:color="auto" w:fill="auto"/>
            <w:vAlign w:val="center"/>
          </w:tcPr>
          <w:p w14:paraId="405DBF89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6789C009" w14:textId="303ECCD5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Sieviete ir vecāka par 35 gadiem</w:t>
            </w:r>
          </w:p>
        </w:tc>
      </w:tr>
      <w:tr w:rsidR="00413C11" w:rsidRPr="00BB4442" w14:paraId="0315448D" w14:textId="77777777" w:rsidTr="005D44C4">
        <w:trPr>
          <w:trHeight w:val="740"/>
        </w:trPr>
        <w:tc>
          <w:tcPr>
            <w:tcW w:w="493" w:type="dxa"/>
            <w:shd w:val="clear" w:color="auto" w:fill="auto"/>
            <w:vAlign w:val="center"/>
          </w:tcPr>
          <w:p w14:paraId="4CC3DC07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10DCD648" w14:textId="4BBFFA24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Sieviete ir smēķētāja. Ja sieviete ir smēķētāja un arī vecāka par 35 gadiem, viņai 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  <w:t>stingri jāiesaka atmest smēķēšanu vai izmantot kādu citu metodi, nevis kombinēto hormonālo kontracepciju.</w:t>
            </w:r>
          </w:p>
        </w:tc>
      </w:tr>
      <w:tr w:rsidR="00413C11" w:rsidRPr="00BB4442" w14:paraId="432D54E6" w14:textId="77777777" w:rsidTr="005D44C4">
        <w:trPr>
          <w:trHeight w:val="493"/>
        </w:trPr>
        <w:tc>
          <w:tcPr>
            <w:tcW w:w="493" w:type="dxa"/>
            <w:shd w:val="clear" w:color="auto" w:fill="auto"/>
            <w:vAlign w:val="center"/>
          </w:tcPr>
          <w:p w14:paraId="61F39822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5920320F" w14:textId="2D066E46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Sievietei ir paaugstināts asinsspiediens (piemēram,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sistoliskais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≥140-159 vai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diastoliskais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≥90-99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mmHg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)</w:t>
            </w:r>
          </w:p>
        </w:tc>
      </w:tr>
      <w:tr w:rsidR="00413C11" w:rsidRPr="00BB4442" w14:paraId="77ACFBB1" w14:textId="77777777" w:rsidTr="005D44C4">
        <w:trPr>
          <w:trHeight w:val="493"/>
        </w:trPr>
        <w:tc>
          <w:tcPr>
            <w:tcW w:w="493" w:type="dxa"/>
            <w:shd w:val="clear" w:color="auto" w:fill="auto"/>
            <w:vAlign w:val="center"/>
          </w:tcPr>
          <w:p w14:paraId="3D1EC12A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5FE53848" w14:textId="660BAA2B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Sievietei ir tuvs radinieks, kuram jaunībā (piemēram, līdz 50 gadu vecumam) ir bijis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trombembolisks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notikums (skatīt iepriekš</w:t>
            </w:r>
            <w:r w:rsidR="0051103F"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ē</w:t>
            </w:r>
            <w:r w:rsidR="0051103F" w:rsidRPr="00BB4442">
              <w:rPr>
                <w:rStyle w:val="y2iqfc"/>
                <w:rFonts w:asciiTheme="minorHAnsi" w:hAnsiTheme="minorHAnsi" w:cstheme="minorHAnsi"/>
                <w:sz w:val="24"/>
                <w:szCs w:val="24"/>
                <w:lang w:val="lv-LV"/>
              </w:rPr>
              <w:t>jā sarakstā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minēto).</w:t>
            </w:r>
          </w:p>
        </w:tc>
      </w:tr>
      <w:tr w:rsidR="00413C11" w:rsidRPr="00BB4442" w14:paraId="6B6EDE82" w14:textId="77777777" w:rsidTr="005D44C4">
        <w:trPr>
          <w:trHeight w:val="481"/>
        </w:trPr>
        <w:tc>
          <w:tcPr>
            <w:tcW w:w="493" w:type="dxa"/>
            <w:shd w:val="clear" w:color="auto" w:fill="auto"/>
            <w:vAlign w:val="center"/>
          </w:tcPr>
          <w:p w14:paraId="4240B7D3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47D903AD" w14:textId="29217903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Sievietei vai kādam no viņas tuvākajiem radiniekiem ir augsta lipīdu koncentrācija asinīs</w:t>
            </w:r>
          </w:p>
        </w:tc>
      </w:tr>
      <w:tr w:rsidR="00413C11" w:rsidRPr="00BB4442" w14:paraId="28E36224" w14:textId="77777777" w:rsidTr="005D44C4">
        <w:trPr>
          <w:trHeight w:val="370"/>
        </w:trPr>
        <w:tc>
          <w:tcPr>
            <w:tcW w:w="493" w:type="dxa"/>
            <w:shd w:val="clear" w:color="auto" w:fill="auto"/>
            <w:vAlign w:val="center"/>
          </w:tcPr>
          <w:p w14:paraId="175B1931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1CE218F0" w14:textId="61A091C4" w:rsidR="00413C11" w:rsidRPr="00BB4442" w:rsidRDefault="00073A4D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t>Sievietei ir migrēna</w:t>
            </w:r>
          </w:p>
        </w:tc>
      </w:tr>
      <w:tr w:rsidR="00413C11" w:rsidRPr="00BB4442" w14:paraId="7ABAC77F" w14:textId="77777777" w:rsidTr="005D44C4">
        <w:trPr>
          <w:trHeight w:val="493"/>
        </w:trPr>
        <w:tc>
          <w:tcPr>
            <w:tcW w:w="493" w:type="dxa"/>
            <w:shd w:val="clear" w:color="auto" w:fill="auto"/>
            <w:vAlign w:val="center"/>
          </w:tcPr>
          <w:p w14:paraId="3638C656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3B1DA11E" w14:textId="177C3F6B" w:rsidR="00413C11" w:rsidRPr="00BB4442" w:rsidRDefault="0051103F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</w:t>
            </w:r>
            <w:r w:rsidR="00073A4D"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ievietei ir sirds un asinsvadu slimības, piemēram, priekškambaru mirdzēšana, aritmija, koronārā sirds slimība, sirds vārstuļu slimība</w:t>
            </w:r>
          </w:p>
        </w:tc>
      </w:tr>
      <w:tr w:rsidR="00413C11" w:rsidRPr="00BB4442" w14:paraId="46F289C4" w14:textId="77777777" w:rsidTr="005D44C4">
        <w:trPr>
          <w:trHeight w:val="370"/>
        </w:trPr>
        <w:tc>
          <w:tcPr>
            <w:tcW w:w="493" w:type="dxa"/>
            <w:shd w:val="clear" w:color="auto" w:fill="auto"/>
            <w:vAlign w:val="center"/>
          </w:tcPr>
          <w:p w14:paraId="6A845DE7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7313500A" w14:textId="54608B07" w:rsidR="00413C11" w:rsidRPr="00BB4442" w:rsidRDefault="00073A4D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t xml:space="preserve">Sievietei ir </w:t>
            </w:r>
            <w:r w:rsidR="009C6318" w:rsidRPr="00BB4442">
              <w:rPr>
                <w:rFonts w:cstheme="minorHAnsi"/>
                <w:sz w:val="24"/>
                <w:szCs w:val="24"/>
                <w:lang w:val="lv-LV"/>
              </w:rPr>
              <w:t xml:space="preserve">cukura </w:t>
            </w:r>
            <w:r w:rsidRPr="00BB4442">
              <w:rPr>
                <w:rFonts w:cstheme="minorHAnsi"/>
                <w:sz w:val="24"/>
                <w:szCs w:val="24"/>
                <w:lang w:val="lv-LV"/>
              </w:rPr>
              <w:t>diabēts</w:t>
            </w:r>
          </w:p>
        </w:tc>
      </w:tr>
      <w:tr w:rsidR="00413C11" w:rsidRPr="00BB4442" w14:paraId="2012AE24" w14:textId="77777777" w:rsidTr="005D44C4">
        <w:trPr>
          <w:trHeight w:val="336"/>
        </w:trPr>
        <w:tc>
          <w:tcPr>
            <w:tcW w:w="493" w:type="dxa"/>
            <w:shd w:val="clear" w:color="auto" w:fill="auto"/>
            <w:vAlign w:val="center"/>
          </w:tcPr>
          <w:p w14:paraId="619C010A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38E0B87F" w14:textId="6D28AA91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Sieviete ir dzemdējusi pēdējo nedēļu laikā</w:t>
            </w:r>
          </w:p>
        </w:tc>
      </w:tr>
      <w:tr w:rsidR="00413C11" w:rsidRPr="00BB4442" w14:paraId="0FCAAD73" w14:textId="77777777" w:rsidTr="005D44C4">
        <w:trPr>
          <w:trHeight w:val="493"/>
        </w:trPr>
        <w:tc>
          <w:tcPr>
            <w:tcW w:w="493" w:type="dxa"/>
            <w:shd w:val="clear" w:color="auto" w:fill="auto"/>
            <w:vAlign w:val="center"/>
          </w:tcPr>
          <w:p w14:paraId="07AF51EE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6BE6C970" w14:textId="2AFF394F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Sieviete gatavojas doties tālsatiksmes lidojumā (&gt;4 stundas) vai viņa ceļo vairāk nekā 4 stundas dienā</w:t>
            </w:r>
          </w:p>
        </w:tc>
      </w:tr>
      <w:tr w:rsidR="00413C11" w:rsidRPr="00BB4442" w14:paraId="41628D30" w14:textId="77777777" w:rsidTr="005D44C4">
        <w:trPr>
          <w:trHeight w:val="740"/>
        </w:trPr>
        <w:tc>
          <w:tcPr>
            <w:tcW w:w="493" w:type="dxa"/>
            <w:shd w:val="clear" w:color="auto" w:fill="auto"/>
            <w:vAlign w:val="center"/>
          </w:tcPr>
          <w:p w14:paraId="6D6CCDA5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021A2DFA" w14:textId="0FF68610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Sievietei ir jebkādi citi veselības traucējumi, kas var palielināt trombozes risku (piemēram, vēzis, sistēmiskā sarkanā vilkēde,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sirpjveida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šūnu slimība, Krona slimība, čūlainais kolīts,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hemolītiski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urēmiskais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sindroms)</w:t>
            </w:r>
          </w:p>
        </w:tc>
      </w:tr>
      <w:tr w:rsidR="00413C11" w:rsidRPr="00BB4442" w14:paraId="121CFF26" w14:textId="77777777" w:rsidTr="005D44C4">
        <w:trPr>
          <w:trHeight w:val="740"/>
        </w:trPr>
        <w:tc>
          <w:tcPr>
            <w:tcW w:w="493" w:type="dxa"/>
            <w:shd w:val="clear" w:color="auto" w:fill="auto"/>
            <w:vAlign w:val="center"/>
          </w:tcPr>
          <w:p w14:paraId="7CCF3B36" w14:textId="77777777" w:rsidR="00413C11" w:rsidRPr="00BB4442" w:rsidRDefault="00413C11" w:rsidP="00087A3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sym w:font="Wingdings" w:char="F06F"/>
            </w:r>
          </w:p>
        </w:tc>
        <w:tc>
          <w:tcPr>
            <w:tcW w:w="9564" w:type="dxa"/>
            <w:shd w:val="clear" w:color="auto" w:fill="auto"/>
          </w:tcPr>
          <w:p w14:paraId="351F701E" w14:textId="6620D274" w:rsidR="00413C11" w:rsidRPr="00BB4442" w:rsidRDefault="00073A4D" w:rsidP="00087A3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Sieviete lieto citas zāles, kas var palielināt trombozes risku (piemēram,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kortikosteroīdus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neiroleptiskos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līdzekļus,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antipsihotiskos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līdzekļus, antidepresantus, ķīmijterapiju utt.)</w:t>
            </w:r>
          </w:p>
        </w:tc>
      </w:tr>
      <w:tr w:rsidR="00413C11" w:rsidRPr="00BB4442" w14:paraId="4930F56A" w14:textId="77777777" w:rsidTr="005D44C4">
        <w:trPr>
          <w:trHeight w:val="1038"/>
        </w:trPr>
        <w:tc>
          <w:tcPr>
            <w:tcW w:w="10058" w:type="dxa"/>
            <w:gridSpan w:val="2"/>
            <w:shd w:val="clear" w:color="auto" w:fill="auto"/>
          </w:tcPr>
          <w:p w14:paraId="4BE6D88B" w14:textId="77777777" w:rsidR="009A096B" w:rsidRPr="00BB4442" w:rsidRDefault="009A096B" w:rsidP="00087A3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lastRenderedPageBreak/>
              <w:t>Precīzāk jāizvērtē kombinētās hormonālās kontracepcijas līdzekļa piemērotība, ja sievietei ir vairāk nekā viens no riska faktoriem.</w:t>
            </w:r>
          </w:p>
          <w:p w14:paraId="10E20044" w14:textId="3C61DFBB" w:rsidR="00413C11" w:rsidRPr="00BB4442" w:rsidRDefault="009A096B" w:rsidP="00C97DC1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Ņemiet vērā, ka individuālie riska faktori laika gaitā var mainīties. Ir svarīgi izmantot šo kontrolsarakstu katrā konsultācijā.</w:t>
            </w:r>
          </w:p>
        </w:tc>
      </w:tr>
    </w:tbl>
    <w:p w14:paraId="7856FC9D" w14:textId="77777777" w:rsidR="009A096B" w:rsidRPr="00BB4442" w:rsidRDefault="009A096B" w:rsidP="00087A3B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theme="minorHAnsi"/>
          <w:b/>
          <w:sz w:val="24"/>
          <w:szCs w:val="24"/>
          <w:lang w:val="lv-LV"/>
        </w:rPr>
      </w:pPr>
    </w:p>
    <w:tbl>
      <w:tblPr>
        <w:tblW w:w="101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D44C4" w:rsidRPr="00BB4442" w14:paraId="48764482" w14:textId="77777777" w:rsidTr="00E2469B">
        <w:trPr>
          <w:trHeight w:val="526"/>
        </w:trPr>
        <w:tc>
          <w:tcPr>
            <w:tcW w:w="10188" w:type="dxa"/>
            <w:tcBorders>
              <w:bottom w:val="nil"/>
            </w:tcBorders>
            <w:shd w:val="clear" w:color="auto" w:fill="auto"/>
          </w:tcPr>
          <w:p w14:paraId="79B5A48A" w14:textId="77777777" w:rsidR="005D44C4" w:rsidRPr="00BB4442" w:rsidRDefault="005D44C4" w:rsidP="00E2469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Pārliecinieties, vai paciente saprot, ka viņai jāpastāsta veselības aprūpes speciālistam, ka viņa lieto kombinēto hormonālo kontracepcijas līdzekli, ja:</w:t>
            </w:r>
          </w:p>
        </w:tc>
      </w:tr>
      <w:tr w:rsidR="005D44C4" w:rsidRPr="00BB4442" w14:paraId="38D6CD50" w14:textId="77777777" w:rsidTr="00E2469B">
        <w:trPr>
          <w:trHeight w:val="705"/>
        </w:trPr>
        <w:tc>
          <w:tcPr>
            <w:tcW w:w="10188" w:type="dxa"/>
            <w:tcBorders>
              <w:top w:val="nil"/>
              <w:bottom w:val="nil"/>
            </w:tcBorders>
            <w:shd w:val="clear" w:color="auto" w:fill="auto"/>
          </w:tcPr>
          <w:p w14:paraId="7C2F0B29" w14:textId="0FEE0B11" w:rsidR="005D44C4" w:rsidRPr="00BB4442" w:rsidRDefault="005D44C4" w:rsidP="00E2469B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t xml:space="preserve">Nepieciešama </w:t>
            </w:r>
            <w:r w:rsidRPr="00E54305">
              <w:rPr>
                <w:rFonts w:cstheme="minorHAnsi"/>
                <w:sz w:val="24"/>
                <w:szCs w:val="24"/>
                <w:lang w:val="lv-LV"/>
              </w:rPr>
              <w:t>operācija</w:t>
            </w:r>
            <w:r w:rsidR="00CD4B68">
              <w:rPr>
                <w:rFonts w:cstheme="minorHAnsi"/>
                <w:sz w:val="24"/>
                <w:szCs w:val="24"/>
                <w:lang w:val="lv-LV"/>
              </w:rPr>
              <w:t>;</w:t>
            </w:r>
          </w:p>
          <w:p w14:paraId="33CC1F3A" w14:textId="34A647BD" w:rsidR="005D44C4" w:rsidRPr="00BB4442" w:rsidRDefault="005D44C4" w:rsidP="00E2469B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theme="minorHAnsi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Nepieciešams ilgstošs ​​imobilizācijas periods (piem., traumas vai slimības dēļ vai ja viņas kāja ir ģips</w:t>
            </w:r>
            <w:r w:rsidR="008D635C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ī</w:t>
            </w:r>
            <w:r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)</w:t>
            </w:r>
            <w:r w:rsidR="00CD4B68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.</w:t>
            </w:r>
          </w:p>
        </w:tc>
      </w:tr>
      <w:tr w:rsidR="005D44C4" w:rsidRPr="00BB4442" w14:paraId="4824EEB1" w14:textId="77777777" w:rsidTr="00E2469B">
        <w:trPr>
          <w:trHeight w:val="80"/>
        </w:trPr>
        <w:tc>
          <w:tcPr>
            <w:tcW w:w="101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8F365A" w14:textId="1BBA9D2E" w:rsidR="005D44C4" w:rsidRPr="00BB4442" w:rsidRDefault="005D44C4" w:rsidP="00E2469B">
            <w:pPr>
              <w:pStyle w:val="HTMLPreformatted"/>
              <w:numPr>
                <w:ilvl w:val="0"/>
                <w:numId w:val="4"/>
              </w:numPr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  <w:t xml:space="preserve">Šādās situācijās pārrunājiet ar sievieti, vai kombinētās hormonālās kontracepcijas līdzekļa lietošana </w:t>
            </w:r>
            <w:r w:rsidR="00B007CC"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  <w:t xml:space="preserve">būtu 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  <w:t>jāpārtrauc un jāizmanto cita kontracepcijas metode, līdz risks normalizējas.</w:t>
            </w:r>
          </w:p>
        </w:tc>
      </w:tr>
      <w:tr w:rsidR="005D44C4" w:rsidRPr="00BB4442" w14:paraId="159B9A77" w14:textId="77777777" w:rsidTr="00E2469B">
        <w:trPr>
          <w:trHeight w:val="70"/>
        </w:trPr>
        <w:tc>
          <w:tcPr>
            <w:tcW w:w="101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246DF8" w14:textId="48818CA6" w:rsidR="005D44C4" w:rsidRPr="008D635C" w:rsidRDefault="005D44C4" w:rsidP="008D635C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Pastāstiet arī pacientei, ka palielinās asins recekļu veidošanās risks, ja:</w:t>
            </w:r>
          </w:p>
        </w:tc>
      </w:tr>
      <w:tr w:rsidR="005D44C4" w:rsidRPr="00BB4442" w14:paraId="0327D3A5" w14:textId="77777777" w:rsidTr="00E2469B">
        <w:trPr>
          <w:trHeight w:val="660"/>
        </w:trPr>
        <w:tc>
          <w:tcPr>
            <w:tcW w:w="10188" w:type="dxa"/>
            <w:tcBorders>
              <w:top w:val="nil"/>
              <w:bottom w:val="nil"/>
            </w:tcBorders>
            <w:shd w:val="clear" w:color="auto" w:fill="auto"/>
          </w:tcPr>
          <w:p w14:paraId="0D8172C4" w14:textId="29992CA0" w:rsidR="005D44C4" w:rsidRPr="00BB4442" w:rsidRDefault="00027213" w:rsidP="00E2469B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theme="minorHAnsi"/>
                <w:b/>
                <w:sz w:val="24"/>
                <w:szCs w:val="24"/>
                <w:lang w:val="lv-LV"/>
              </w:rPr>
            </w:pPr>
            <w:r w:rsidRPr="00BB4442">
              <w:rPr>
                <w:rFonts w:cstheme="minorHAnsi"/>
                <w:sz w:val="24"/>
                <w:szCs w:val="24"/>
                <w:lang w:val="lv-LV"/>
              </w:rPr>
              <w:t xml:space="preserve">Viņa </w:t>
            </w:r>
            <w:r w:rsidR="00D07FBD" w:rsidRPr="00BB4442">
              <w:rPr>
                <w:rFonts w:cstheme="minorHAnsi"/>
                <w:sz w:val="24"/>
                <w:szCs w:val="24"/>
                <w:lang w:val="lv-LV"/>
              </w:rPr>
              <w:t>c</w:t>
            </w:r>
            <w:r w:rsidR="005D44C4" w:rsidRPr="00BB4442">
              <w:rPr>
                <w:rFonts w:cstheme="minorHAnsi"/>
                <w:sz w:val="24"/>
                <w:szCs w:val="24"/>
                <w:lang w:val="lv-LV"/>
              </w:rPr>
              <w:t>eļo ilgu laika periodu (&gt;4 stundas)</w:t>
            </w:r>
            <w:r w:rsidR="00CD4B68">
              <w:rPr>
                <w:rFonts w:cstheme="minorHAnsi"/>
                <w:sz w:val="24"/>
                <w:szCs w:val="24"/>
                <w:lang w:val="lv-LV"/>
              </w:rPr>
              <w:t>;</w:t>
            </w:r>
          </w:p>
          <w:p w14:paraId="3A1C9123" w14:textId="7D73D8A3" w:rsidR="005D44C4" w:rsidRPr="00BB4442" w:rsidRDefault="00027213" w:rsidP="00E2469B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Style w:val="y2iqfc"/>
                <w:rFonts w:cstheme="minorHAnsi"/>
                <w:b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 xml:space="preserve">Viņai </w:t>
            </w:r>
            <w:r w:rsidR="005D44C4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rodas kāda no kontrindikācijām kombinēt</w:t>
            </w:r>
            <w:r w:rsidR="00A9246E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o</w:t>
            </w:r>
            <w:r w:rsidR="005D44C4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 xml:space="preserve"> hormonāl</w:t>
            </w:r>
            <w:r w:rsidR="00A9246E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o</w:t>
            </w:r>
            <w:r w:rsidR="005D44C4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 xml:space="preserve"> kontracepcijas līdzekļ</w:t>
            </w:r>
            <w:r w:rsidR="00A9246E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u lietošanā</w:t>
            </w:r>
            <w:r w:rsidR="005D44C4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 xml:space="preserve"> vai </w:t>
            </w:r>
            <w:r w:rsidR="00D07FBD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 xml:space="preserve">attīstās </w:t>
            </w:r>
            <w:r w:rsidR="005D44C4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kāds no asins recekļa riska faktoriem</w:t>
            </w:r>
            <w:r w:rsidR="00CD4B68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;</w:t>
            </w:r>
          </w:p>
          <w:p w14:paraId="74F8AD93" w14:textId="6A1AF579" w:rsidR="005D44C4" w:rsidRPr="00BB4442" w:rsidRDefault="00D07FBD" w:rsidP="00E2469B">
            <w:pPr>
              <w:numPr>
                <w:ilvl w:val="0"/>
                <w:numId w:val="1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rPr>
                <w:rFonts w:cstheme="minorHAnsi"/>
                <w:b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 xml:space="preserve">Viņa </w:t>
            </w:r>
            <w:r w:rsidR="005D44C4" w:rsidRPr="00BB4442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ir dzemdējusi pēdējo nedēļu laikā</w:t>
            </w:r>
            <w:r w:rsidR="00CD4B68">
              <w:rPr>
                <w:rStyle w:val="y2iqfc"/>
                <w:rFonts w:cstheme="minorHAnsi"/>
                <w:color w:val="202124"/>
                <w:sz w:val="24"/>
                <w:szCs w:val="24"/>
                <w:lang w:val="lv-LV"/>
              </w:rPr>
              <w:t>.</w:t>
            </w:r>
          </w:p>
        </w:tc>
      </w:tr>
      <w:tr w:rsidR="005D44C4" w:rsidRPr="00BB4442" w14:paraId="560B863B" w14:textId="77777777" w:rsidTr="00E2469B">
        <w:trPr>
          <w:trHeight w:val="375"/>
        </w:trPr>
        <w:tc>
          <w:tcPr>
            <w:tcW w:w="101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EF2281" w14:textId="77777777" w:rsidR="005D44C4" w:rsidRPr="00BB4442" w:rsidRDefault="005D44C4" w:rsidP="00E2469B">
            <w:pPr>
              <w:pStyle w:val="HTMLPreformatted"/>
              <w:numPr>
                <w:ilvl w:val="0"/>
                <w:numId w:val="4"/>
              </w:numPr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  <w:t xml:space="preserve">Šādās situācijās jābūt īpaši uzmanīgam attiecībā uz jebkādām </w:t>
            </w:r>
            <w:proofErr w:type="spellStart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  <w:t>trombembolijas</w:t>
            </w:r>
            <w:proofErr w:type="spellEnd"/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u w:val="single"/>
                <w:lang w:val="lv-LV"/>
              </w:rPr>
              <w:t xml:space="preserve"> pazīmēm un simptomiem.</w:t>
            </w:r>
          </w:p>
        </w:tc>
      </w:tr>
      <w:tr w:rsidR="005D44C4" w:rsidRPr="00BB4442" w14:paraId="752A2CDB" w14:textId="77777777" w:rsidTr="00E2469B">
        <w:trPr>
          <w:trHeight w:val="652"/>
        </w:trPr>
        <w:tc>
          <w:tcPr>
            <w:tcW w:w="10188" w:type="dxa"/>
            <w:tcBorders>
              <w:top w:val="single" w:sz="4" w:space="0" w:color="auto"/>
            </w:tcBorders>
            <w:shd w:val="clear" w:color="auto" w:fill="auto"/>
          </w:tcPr>
          <w:p w14:paraId="13296E56" w14:textId="094C8BC1" w:rsidR="005D44C4" w:rsidRPr="00BB4442" w:rsidRDefault="005D44C4" w:rsidP="00E2469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Iesakiet pacient</w:t>
            </w:r>
            <w:r w:rsidR="003D3FB5"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ei</w:t>
            </w: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 xml:space="preserve"> pastāstīt ārstam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, ja kāda no iepriekš minētajām situācijām mainās vai pasliktinās.</w:t>
            </w:r>
          </w:p>
          <w:p w14:paraId="377A981C" w14:textId="6ED5A1DC" w:rsidR="005D44C4" w:rsidRPr="00BB4442" w:rsidRDefault="005D44C4" w:rsidP="00E2469B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</w:pPr>
            <w:r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Mudiniet pacient</w:t>
            </w:r>
            <w:r w:rsidR="003D3FB5" w:rsidRPr="00BB4442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lang w:val="lv-LV"/>
              </w:rPr>
              <w:t>i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konsultācijas laikā izlasīt pievienoto Pacienta kart</w:t>
            </w:r>
            <w:r w:rsidR="003D3FB5"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īti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, lai viņai būtu iespēja ar </w:t>
            </w:r>
            <w:r w:rsidR="007F48F0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J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ums pārrunāt tās saturu. Iesakiet viņai pirms lietošanas izlasīt arī </w:t>
            </w:r>
            <w:r w:rsidR="00FD1907"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lietošanas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 xml:space="preserve"> instrukciju. Abi satur informāciju par asins recekļu simptomiem, k</w:t>
            </w:r>
            <w:r w:rsidR="00C50526"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uriem jāpievērš uzmanība</w:t>
            </w:r>
            <w:r w:rsidRPr="00BB444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lv-LV"/>
              </w:rPr>
              <w:t>.</w:t>
            </w:r>
          </w:p>
        </w:tc>
      </w:tr>
    </w:tbl>
    <w:p w14:paraId="649F6CE5" w14:textId="77777777" w:rsidR="005D44C4" w:rsidRPr="00BB4442" w:rsidRDefault="005D44C4" w:rsidP="00087A3B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theme="minorHAnsi"/>
          <w:b/>
          <w:sz w:val="24"/>
          <w:szCs w:val="24"/>
          <w:lang w:val="lv-LV"/>
        </w:rPr>
      </w:pPr>
    </w:p>
    <w:p w14:paraId="0A68C486" w14:textId="59CCAA5C" w:rsidR="00B678BA" w:rsidRPr="00B678BA" w:rsidRDefault="00B678BA" w:rsidP="00B678BA">
      <w:pPr>
        <w:pStyle w:val="Default"/>
        <w:spacing w:line="360" w:lineRule="auto"/>
        <w:jc w:val="center"/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  <w:u w:val="single"/>
          <w:lang w:val="lv-LV"/>
        </w:rPr>
      </w:pPr>
      <w:r w:rsidRPr="00FB3EB7"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  <w:u w:val="single"/>
          <w:lang w:val="lv-LV"/>
        </w:rPr>
        <w:t>Ziņošana par blakusparādībām</w:t>
      </w:r>
    </w:p>
    <w:p w14:paraId="77147336" w14:textId="43EBC44C" w:rsidR="001E6925" w:rsidRPr="00174B96" w:rsidRDefault="00B147DA" w:rsidP="004B689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Jūs varat ziņot </w:t>
      </w:r>
      <w:r w:rsidR="00C50526"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>UAB Exeltis Baltics</w:t>
      </w:r>
      <w:r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 </w:t>
      </w:r>
      <w:r w:rsidR="00C33492"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(rakstot uz e-pastu: </w:t>
      </w:r>
      <w:r w:rsidR="004052AF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pharma</w:t>
      </w:r>
      <w:r w:rsidR="007C45C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</w:t>
      </w:r>
      <w:r w:rsidR="004052AF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ovigilance_baltics@exeltis.com</w:t>
      </w:r>
      <w:r w:rsidR="004052AF" w:rsidRPr="00174B96">
        <w:rPr>
          <w:rStyle w:val="y2iqfc"/>
          <w:rFonts w:asciiTheme="minorHAnsi" w:hAnsiTheme="minorHAnsi" w:cstheme="minorHAnsi"/>
          <w:b/>
          <w:bCs/>
          <w:color w:val="000000" w:themeColor="text1"/>
          <w:sz w:val="22"/>
          <w:szCs w:val="22"/>
          <w:lang w:val="lv-LV"/>
        </w:rPr>
        <w:t xml:space="preserve"> </w:t>
      </w:r>
      <w:r w:rsidR="00C33492" w:rsidRPr="00174B96">
        <w:rPr>
          <w:rStyle w:val="y2iqfc"/>
          <w:rFonts w:asciiTheme="minorHAnsi" w:hAnsiTheme="minorHAnsi" w:cstheme="minorHAnsi"/>
          <w:b/>
          <w:bCs/>
          <w:color w:val="000000" w:themeColor="text1"/>
          <w:sz w:val="22"/>
          <w:szCs w:val="22"/>
          <w:lang w:val="lv-LV"/>
        </w:rPr>
        <w:t xml:space="preserve">vai pa tālruni </w:t>
      </w:r>
      <w:r w:rsidR="004052AF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+370 697 62714</w:t>
      </w:r>
      <w:r w:rsidR="00C33492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  <w:r w:rsidR="004052AF" w:rsidRPr="00174B96">
        <w:rPr>
          <w:rStyle w:val="y2iqfc"/>
          <w:rFonts w:asciiTheme="minorHAnsi" w:hAnsiTheme="minorHAnsi" w:cstheme="minorHAnsi"/>
          <w:b/>
          <w:bCs/>
          <w:color w:val="000000" w:themeColor="text1"/>
          <w:sz w:val="22"/>
          <w:szCs w:val="22"/>
          <w:lang w:val="lv-LV"/>
        </w:rPr>
        <w:t xml:space="preserve"> </w:t>
      </w:r>
      <w:r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vai </w:t>
      </w:r>
      <w:r w:rsidR="00C004A0"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>Zāļu valsts aģentūrai</w:t>
      </w:r>
      <w:r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 par </w:t>
      </w:r>
      <w:r w:rsidR="00C004A0"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>jebkurām</w:t>
      </w:r>
      <w:r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 blakusparādībām, kuras, </w:t>
      </w:r>
      <w:r w:rsidR="00466296"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>J</w:t>
      </w:r>
      <w:r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>ūsuprāt, izraisījusi kombinētās hormonālās kontracepcijas līdzekļa lietošana.</w:t>
      </w:r>
      <w:r w:rsidR="005D2AE1"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 Sazinoties ar UAB Exeltis Baltics, rakstot uz e-pastu</w:t>
      </w:r>
      <w:r w:rsidR="00DB4129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hyperlink r:id="rId7" w:history="1">
        <w:r w:rsidR="00174B96" w:rsidRPr="00174B96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u w:val="none"/>
          </w:rPr>
          <w:t>pharmacovigilance_baltics@exeltis.com</w:t>
        </w:r>
      </w:hyperlink>
      <w:r w:rsidR="00174B96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74B96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vai</w:t>
      </w:r>
      <w:proofErr w:type="spellEnd"/>
      <w:r w:rsidR="005D2AE1" w:rsidRPr="00174B96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lv-LV"/>
        </w:rPr>
        <w:t xml:space="preserve"> </w:t>
      </w:r>
      <w:hyperlink r:id="rId8" w:history="1">
        <w:r w:rsidR="00E55490" w:rsidRPr="00174B96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u w:val="none"/>
          </w:rPr>
          <w:t>info_baltics@exeltis.eu</w:t>
        </w:r>
      </w:hyperlink>
      <w:r w:rsidR="00A579E0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="00E55490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55490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ir</w:t>
      </w:r>
      <w:proofErr w:type="spellEnd"/>
      <w:r w:rsidR="00E55490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55490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iespējams</w:t>
      </w:r>
      <w:proofErr w:type="spellEnd"/>
      <w:r w:rsidR="00E55490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6293A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pieprasīt</w:t>
      </w:r>
      <w:proofErr w:type="spellEnd"/>
      <w:r w:rsidR="0076293A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6293A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š</w:t>
      </w:r>
      <w:r w:rsidR="00A579E0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ī</w:t>
      </w:r>
      <w:proofErr w:type="spellEnd"/>
      <w:r w:rsidR="0076293A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6293A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kontrolsarakst</w:t>
      </w:r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proofErr w:type="spellEnd"/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saņemšanu</w:t>
      </w:r>
      <w:proofErr w:type="spellEnd"/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drukātā</w:t>
      </w:r>
      <w:proofErr w:type="spellEnd"/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veidā</w:t>
      </w:r>
      <w:proofErr w:type="spellEnd"/>
      <w:r w:rsidR="00221B54" w:rsidRPr="00174B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6694DEF8" w14:textId="661C49EA" w:rsidR="001E6925" w:rsidRPr="00174B96" w:rsidRDefault="001E6925" w:rsidP="004B6899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Atgādinām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, ka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saskaņā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ar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zāļu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blakusparādību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ziņošanas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noteikumiem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Latvijā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ārstniecības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personām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un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farmaceitiem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jāziņo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par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novērotām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iespējamām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zāļu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blaknēm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Zāļu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valsts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aģentūrai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(ZVA)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elektroniski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ZVA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tīmekļa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vietnē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74B96">
        <w:rPr>
          <w:rFonts w:asciiTheme="minorHAnsi" w:hAnsiTheme="minorHAnsi" w:cstheme="minorHAnsi"/>
          <w:b/>
          <w:bCs/>
          <w:color w:val="0462C1"/>
          <w:sz w:val="22"/>
          <w:szCs w:val="22"/>
        </w:rPr>
        <w:t>www.zva.gov.lv</w:t>
      </w:r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klikšķinot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uz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izvēlnes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“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Ziņot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par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zāļu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blaknēm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negadījumiem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ar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ierīcēm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biovigilanci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”, un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izvēloties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“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Veselības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aprūpes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speciālistiem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un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iestādēm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”.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Papildinformācijas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nepieciešamības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gadījumā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jāsazinās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ar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 xml:space="preserve"> ZVA pa </w:t>
      </w:r>
      <w:proofErr w:type="spellStart"/>
      <w:r w:rsidRPr="00174B96">
        <w:rPr>
          <w:rFonts w:asciiTheme="minorHAnsi" w:hAnsiTheme="minorHAnsi" w:cstheme="minorHAnsi"/>
          <w:b/>
          <w:bCs/>
          <w:sz w:val="22"/>
          <w:szCs w:val="22"/>
        </w:rPr>
        <w:t>tālr</w:t>
      </w:r>
      <w:proofErr w:type="spellEnd"/>
      <w:r w:rsidRPr="00174B96">
        <w:rPr>
          <w:rFonts w:asciiTheme="minorHAnsi" w:hAnsiTheme="minorHAnsi" w:cstheme="minorHAnsi"/>
          <w:b/>
          <w:bCs/>
          <w:sz w:val="22"/>
          <w:szCs w:val="22"/>
        </w:rPr>
        <w:t>.: 67078438</w:t>
      </w:r>
    </w:p>
    <w:p w14:paraId="4949377E" w14:textId="77777777" w:rsidR="00413C11" w:rsidRPr="00BB4442" w:rsidRDefault="00413C11" w:rsidP="00087A3B">
      <w:pPr>
        <w:spacing w:line="240" w:lineRule="auto"/>
        <w:rPr>
          <w:rFonts w:cstheme="minorHAnsi"/>
          <w:sz w:val="24"/>
          <w:szCs w:val="24"/>
          <w:lang w:val="lv-LV"/>
        </w:rPr>
      </w:pPr>
    </w:p>
    <w:sectPr w:rsidR="00413C11" w:rsidRPr="00BB444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F3FD" w14:textId="77777777" w:rsidR="007D55A6" w:rsidRDefault="007D55A6" w:rsidP="007C38B4">
      <w:pPr>
        <w:spacing w:after="0" w:line="240" w:lineRule="auto"/>
      </w:pPr>
      <w:r>
        <w:separator/>
      </w:r>
    </w:p>
  </w:endnote>
  <w:endnote w:type="continuationSeparator" w:id="0">
    <w:p w14:paraId="7780524E" w14:textId="77777777" w:rsidR="007D55A6" w:rsidRDefault="007D55A6" w:rsidP="007C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D534" w14:textId="21E92239" w:rsidR="007C38B4" w:rsidRPr="007C38B4" w:rsidRDefault="007C38B4">
    <w:pPr>
      <w:pStyle w:val="Footer"/>
      <w:rPr>
        <w:lang w:val="lv-LV"/>
      </w:rPr>
    </w:pPr>
    <w:r>
      <w:rPr>
        <w:lang w:val="lv-LV"/>
      </w:rP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9B39" w14:textId="77777777" w:rsidR="007D55A6" w:rsidRDefault="007D55A6" w:rsidP="007C38B4">
      <w:pPr>
        <w:spacing w:after="0" w:line="240" w:lineRule="auto"/>
      </w:pPr>
      <w:r>
        <w:separator/>
      </w:r>
    </w:p>
  </w:footnote>
  <w:footnote w:type="continuationSeparator" w:id="0">
    <w:p w14:paraId="0CD783B3" w14:textId="77777777" w:rsidR="007D55A6" w:rsidRDefault="007D55A6" w:rsidP="007C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24AA" w14:textId="12CEAE53" w:rsidR="003842B2" w:rsidRPr="003842B2" w:rsidRDefault="003842B2">
    <w:pPr>
      <w:pStyle w:val="Header"/>
      <w:rPr>
        <w:lang w:val="lv-LV"/>
      </w:rPr>
    </w:pPr>
    <w:r>
      <w:rPr>
        <w:lang w:val="lv-LV"/>
      </w:rPr>
      <w:t>05.2019.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0A2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CD00A85"/>
    <w:multiLevelType w:val="hybridMultilevel"/>
    <w:tmpl w:val="A4D299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53D9F"/>
    <w:multiLevelType w:val="hybridMultilevel"/>
    <w:tmpl w:val="E2BA85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84FDD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lackadder ITC" w:eastAsia="Blackadder ITC" w:hAnsi="Blackadder ITC" w:cs="Blackadder ITC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3E2254"/>
    <w:multiLevelType w:val="hybridMultilevel"/>
    <w:tmpl w:val="75107AF8"/>
    <w:lvl w:ilvl="0" w:tplc="0409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4" w15:restartNumberingAfterBreak="0">
    <w:nsid w:val="2CF456A9"/>
    <w:multiLevelType w:val="hybridMultilevel"/>
    <w:tmpl w:val="8E084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914DC"/>
    <w:multiLevelType w:val="hybridMultilevel"/>
    <w:tmpl w:val="0060C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86937">
    <w:abstractNumId w:val="2"/>
  </w:num>
  <w:num w:numId="2" w16cid:durableId="1054038101">
    <w:abstractNumId w:val="0"/>
  </w:num>
  <w:num w:numId="3" w16cid:durableId="34236350">
    <w:abstractNumId w:val="2"/>
    <w:lvlOverride w:ilvl="0">
      <w:lvl w:ilvl="0" w:tplc="08090001">
        <w:start w:val="1"/>
        <w:numFmt w:val="bullet"/>
        <w:lvlText w:val="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  <w:lvlOverride w:ilvl="1">
      <w:lvl w:ilvl="1" w:tplc="E684FDD8">
        <w:start w:val="1"/>
        <w:numFmt w:val="bullet"/>
        <w:lvlText w:val="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4">
      <w:lvl w:ilvl="4" w:tplc="08090003">
        <w:start w:val="1"/>
        <w:numFmt w:val="bullet"/>
        <w:lvlText w:val=""/>
        <w:lvlJc w:val="left"/>
        <w:pPr>
          <w:tabs>
            <w:tab w:val="num" w:pos="1800"/>
          </w:tabs>
          <w:ind w:left="1800" w:hanging="360"/>
        </w:pPr>
        <w:rPr>
          <w:rFonts w:ascii="Symbol" w:hAnsi="Symbol" w:hint="default"/>
        </w:rPr>
      </w:lvl>
    </w:lvlOverride>
    <w:lvlOverride w:ilvl="5">
      <w:lvl w:ilvl="5" w:tplc="08090005">
        <w:start w:val="1"/>
        <w:numFmt w:val="bullet"/>
        <w:lvlText w:val="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6">
      <w:lvl w:ilvl="6" w:tplc="08090001">
        <w:start w:val="1"/>
        <w:numFmt w:val="bullet"/>
        <w:lvlText w:val=""/>
        <w:lvlJc w:val="left"/>
        <w:pPr>
          <w:tabs>
            <w:tab w:val="num" w:pos="2520"/>
          </w:tabs>
          <w:ind w:left="2520" w:hanging="360"/>
        </w:pPr>
        <w:rPr>
          <w:rFonts w:ascii="Wingdings" w:hAnsi="Wingdings" w:hint="default"/>
        </w:rPr>
      </w:lvl>
    </w:lvlOverride>
    <w:lvlOverride w:ilvl="7">
      <w:lvl w:ilvl="7" w:tplc="0809000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8">
      <w:lvl w:ilvl="8" w:tplc="08090005">
        <w:start w:val="1"/>
        <w:numFmt w:val="bullet"/>
        <w:lvlText w:val=""/>
        <w:lvlJc w:val="left"/>
        <w:pPr>
          <w:tabs>
            <w:tab w:val="num" w:pos="3240"/>
          </w:tabs>
          <w:ind w:left="3240" w:hanging="360"/>
        </w:pPr>
        <w:rPr>
          <w:rFonts w:ascii="Symbol" w:hAnsi="Symbol" w:hint="default"/>
        </w:rPr>
      </w:lvl>
    </w:lvlOverride>
  </w:num>
  <w:num w:numId="4" w16cid:durableId="1989281038">
    <w:abstractNumId w:val="4"/>
  </w:num>
  <w:num w:numId="5" w16cid:durableId="607733965">
    <w:abstractNumId w:val="3"/>
  </w:num>
  <w:num w:numId="6" w16cid:durableId="1903170307">
    <w:abstractNumId w:val="5"/>
  </w:num>
  <w:num w:numId="7" w16cid:durableId="95860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70"/>
    <w:rsid w:val="00027213"/>
    <w:rsid w:val="00073A4D"/>
    <w:rsid w:val="00087A3B"/>
    <w:rsid w:val="001125DC"/>
    <w:rsid w:val="001537C6"/>
    <w:rsid w:val="00174B96"/>
    <w:rsid w:val="001E6925"/>
    <w:rsid w:val="00221B54"/>
    <w:rsid w:val="002B3F15"/>
    <w:rsid w:val="00306D5E"/>
    <w:rsid w:val="003842B2"/>
    <w:rsid w:val="003867AE"/>
    <w:rsid w:val="003D3FB5"/>
    <w:rsid w:val="004052AF"/>
    <w:rsid w:val="00413C11"/>
    <w:rsid w:val="00466296"/>
    <w:rsid w:val="00494065"/>
    <w:rsid w:val="004B6899"/>
    <w:rsid w:val="004C2164"/>
    <w:rsid w:val="0051103F"/>
    <w:rsid w:val="005517CD"/>
    <w:rsid w:val="005D2AE1"/>
    <w:rsid w:val="005D44C4"/>
    <w:rsid w:val="005F475E"/>
    <w:rsid w:val="0072418B"/>
    <w:rsid w:val="007412EC"/>
    <w:rsid w:val="0076293A"/>
    <w:rsid w:val="007B04C4"/>
    <w:rsid w:val="007C38B4"/>
    <w:rsid w:val="007C45C4"/>
    <w:rsid w:val="007D55A6"/>
    <w:rsid w:val="007E505A"/>
    <w:rsid w:val="007F48F0"/>
    <w:rsid w:val="00853259"/>
    <w:rsid w:val="0086360A"/>
    <w:rsid w:val="008702E2"/>
    <w:rsid w:val="008D635C"/>
    <w:rsid w:val="00915990"/>
    <w:rsid w:val="00927460"/>
    <w:rsid w:val="009A096B"/>
    <w:rsid w:val="009C6318"/>
    <w:rsid w:val="009E2499"/>
    <w:rsid w:val="00A579E0"/>
    <w:rsid w:val="00A9246E"/>
    <w:rsid w:val="00AA0957"/>
    <w:rsid w:val="00AD0BC6"/>
    <w:rsid w:val="00AD1DF8"/>
    <w:rsid w:val="00B007CC"/>
    <w:rsid w:val="00B07463"/>
    <w:rsid w:val="00B147DA"/>
    <w:rsid w:val="00B678BA"/>
    <w:rsid w:val="00BB0389"/>
    <w:rsid w:val="00BB4442"/>
    <w:rsid w:val="00BE1C72"/>
    <w:rsid w:val="00C004A0"/>
    <w:rsid w:val="00C33492"/>
    <w:rsid w:val="00C50526"/>
    <w:rsid w:val="00C66BF7"/>
    <w:rsid w:val="00C96227"/>
    <w:rsid w:val="00C97DC1"/>
    <w:rsid w:val="00CD4B68"/>
    <w:rsid w:val="00D07FBD"/>
    <w:rsid w:val="00DB4129"/>
    <w:rsid w:val="00E5400A"/>
    <w:rsid w:val="00E54305"/>
    <w:rsid w:val="00E55490"/>
    <w:rsid w:val="00E963E3"/>
    <w:rsid w:val="00EB1A70"/>
    <w:rsid w:val="00EE3DE5"/>
    <w:rsid w:val="00F62C5A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F71F"/>
  <w15:chartTrackingRefBased/>
  <w15:docId w15:val="{C7F68ECF-DCF0-473B-BE6D-DEF94452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B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1A7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EB1A70"/>
  </w:style>
  <w:style w:type="paragraph" w:styleId="ListParagraph">
    <w:name w:val="List Paragraph"/>
    <w:basedOn w:val="Normal"/>
    <w:uiPriority w:val="34"/>
    <w:qFormat/>
    <w:rsid w:val="001125DC"/>
    <w:pPr>
      <w:ind w:left="720"/>
      <w:contextualSpacing/>
    </w:pPr>
  </w:style>
  <w:style w:type="paragraph" w:customStyle="1" w:styleId="Default">
    <w:name w:val="Default"/>
    <w:rsid w:val="00AA0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B4"/>
  </w:style>
  <w:style w:type="paragraph" w:styleId="Footer">
    <w:name w:val="footer"/>
    <w:basedOn w:val="Normal"/>
    <w:link w:val="FooterChar"/>
    <w:uiPriority w:val="99"/>
    <w:unhideWhenUsed/>
    <w:rsid w:val="007C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B4"/>
  </w:style>
  <w:style w:type="character" w:styleId="Hyperlink">
    <w:name w:val="Hyperlink"/>
    <w:basedOn w:val="DefaultParagraphFont"/>
    <w:uiPriority w:val="99"/>
    <w:unhideWhenUsed/>
    <w:rsid w:val="00E55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baltics@exelti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rmacovigilance_baltics@exelt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translator06</dc:creator>
  <cp:keywords/>
  <dc:description/>
  <cp:lastModifiedBy>translator06</cp:lastModifiedBy>
  <cp:revision>66</cp:revision>
  <dcterms:created xsi:type="dcterms:W3CDTF">2023-11-09T12:36:00Z</dcterms:created>
  <dcterms:modified xsi:type="dcterms:W3CDTF">2024-01-24T11:50:00Z</dcterms:modified>
</cp:coreProperties>
</file>