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F86853" w:rsidRPr="00F86B9D" w:rsidTr="00457950">
        <w:trPr>
          <w:trHeight w:val="1142"/>
        </w:trPr>
        <w:tc>
          <w:tcPr>
            <w:tcW w:w="5070" w:type="dxa"/>
            <w:shd w:val="clear" w:color="auto" w:fill="auto"/>
          </w:tcPr>
          <w:p w:rsidR="00F86853" w:rsidRPr="00F86B9D" w:rsidRDefault="005E53C7" w:rsidP="00457950">
            <w:pPr>
              <w:spacing w:after="0" w:line="240" w:lineRule="auto"/>
              <w:outlineLvl w:val="0"/>
              <w:rPr>
                <w:lang w:eastAsia="lv-LV"/>
              </w:rPr>
            </w:pPr>
            <w:bookmarkStart w:id="0" w:name="_GoBack"/>
            <w:bookmarkEnd w:id="0"/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2295525" cy="381000"/>
                  <wp:effectExtent l="0" t="0" r="9525" b="0"/>
                  <wp:docPr id="1" name="Picture 2" descr="Stradini_logo_lat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adini_logo_lat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853" w:rsidRDefault="00F86853" w:rsidP="00457950">
            <w:pPr>
              <w:tabs>
                <w:tab w:val="left" w:pos="1134"/>
              </w:tabs>
              <w:spacing w:before="240" w:after="0" w:line="240" w:lineRule="auto"/>
              <w:outlineLvl w:val="0"/>
              <w:rPr>
                <w:rFonts w:ascii="Arial" w:hAnsi="Arial" w:cs="Arial"/>
                <w:bCs/>
                <w:iCs/>
                <w:color w:val="000000"/>
                <w:lang w:eastAsia="lv-LV"/>
              </w:rPr>
            </w:pPr>
            <w:r w:rsidRPr="00F86B9D">
              <w:rPr>
                <w:rFonts w:ascii="Dutch TL" w:hAnsi="Dutch TL"/>
                <w:bCs/>
                <w:iCs/>
                <w:color w:val="4F81BD"/>
                <w:lang w:eastAsia="lv-LV"/>
              </w:rPr>
              <w:tab/>
            </w:r>
            <w:r>
              <w:rPr>
                <w:rFonts w:ascii="Arial" w:hAnsi="Arial" w:cs="Arial"/>
                <w:bCs/>
                <w:iCs/>
                <w:color w:val="000000"/>
                <w:lang w:eastAsia="lv-LV"/>
              </w:rPr>
              <w:t>TĀLĀKIZGLĪTĪBAS FAKULTĀTE</w:t>
            </w:r>
          </w:p>
          <w:p w:rsidR="00F86853" w:rsidRPr="004900A3" w:rsidRDefault="00F86853" w:rsidP="00457950">
            <w:pPr>
              <w:tabs>
                <w:tab w:val="left" w:pos="1134"/>
              </w:tabs>
              <w:spacing w:before="120" w:after="0" w:line="240" w:lineRule="auto"/>
              <w:outlineLvl w:val="0"/>
              <w:rPr>
                <w:rFonts w:ascii="Arial" w:hAnsi="Arial" w:cs="Arial"/>
                <w:b/>
                <w:bCs/>
                <w:iCs/>
                <w:color w:val="000000"/>
                <w:lang w:eastAsia="lv-LV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lv-LV"/>
              </w:rPr>
              <w:t xml:space="preserve">                   </w:t>
            </w:r>
            <w:r w:rsidRPr="004900A3">
              <w:rPr>
                <w:rFonts w:ascii="Arial" w:hAnsi="Arial" w:cs="Arial"/>
                <w:b/>
                <w:bCs/>
                <w:iCs/>
                <w:color w:val="000000"/>
                <w:lang w:eastAsia="lv-LV"/>
              </w:rPr>
              <w:t>KURSU DAĻA</w:t>
            </w:r>
          </w:p>
        </w:tc>
        <w:tc>
          <w:tcPr>
            <w:tcW w:w="4784" w:type="dxa"/>
            <w:shd w:val="clear" w:color="auto" w:fill="auto"/>
          </w:tcPr>
          <w:p w:rsidR="00F86853" w:rsidRPr="00F86B9D" w:rsidRDefault="00F86853" w:rsidP="00457950">
            <w:pPr>
              <w:spacing w:after="0" w:line="240" w:lineRule="auto"/>
              <w:jc w:val="right"/>
              <w:outlineLvl w:val="0"/>
              <w:rPr>
                <w:b/>
                <w:lang w:eastAsia="lv-LV"/>
              </w:rPr>
            </w:pPr>
          </w:p>
        </w:tc>
      </w:tr>
    </w:tbl>
    <w:p w:rsidR="00F86853" w:rsidRPr="00A62351" w:rsidRDefault="00F86853" w:rsidP="00F86853">
      <w:pPr>
        <w:pStyle w:val="BodyText"/>
        <w:outlineLvl w:val="0"/>
        <w:rPr>
          <w:rStyle w:val="IntenseEmphasis"/>
          <w:rFonts w:ascii="Cambria" w:hAnsi="Cambria"/>
          <w:i w:val="0"/>
          <w:color w:val="000000"/>
          <w:sz w:val="22"/>
          <w:szCs w:val="22"/>
        </w:rPr>
      </w:pPr>
    </w:p>
    <w:p w:rsidR="00F86853" w:rsidRPr="00A62351" w:rsidRDefault="00F86853" w:rsidP="00F86853">
      <w:pPr>
        <w:pStyle w:val="BodyText"/>
        <w:outlineLvl w:val="0"/>
        <w:rPr>
          <w:rStyle w:val="IntenseEmphasis"/>
          <w:rFonts w:ascii="Cambria" w:hAnsi="Cambria"/>
          <w:i w:val="0"/>
          <w:color w:val="000000"/>
          <w:sz w:val="22"/>
          <w:szCs w:val="22"/>
        </w:rPr>
      </w:pPr>
    </w:p>
    <w:p w:rsidR="00F86853" w:rsidRPr="00A62351" w:rsidRDefault="00F86853" w:rsidP="00F86853">
      <w:pPr>
        <w:pStyle w:val="BodyText"/>
        <w:jc w:val="center"/>
        <w:outlineLvl w:val="0"/>
        <w:rPr>
          <w:rStyle w:val="IntenseEmphasis"/>
          <w:rFonts w:ascii="Cambria" w:hAnsi="Cambria"/>
          <w:i w:val="0"/>
          <w:color w:val="000000"/>
          <w:szCs w:val="28"/>
        </w:rPr>
      </w:pPr>
      <w:r w:rsidRPr="00A62351">
        <w:rPr>
          <w:rStyle w:val="IntenseEmphasis"/>
          <w:rFonts w:ascii="Cambria" w:hAnsi="Cambria"/>
          <w:i w:val="0"/>
          <w:color w:val="000000"/>
          <w:szCs w:val="28"/>
        </w:rPr>
        <w:t>PROFESIONĀLĀS PILNVEIDES PROGRAMMA</w:t>
      </w:r>
    </w:p>
    <w:p w:rsidR="00F86853" w:rsidRPr="0024332E" w:rsidRDefault="00F86853" w:rsidP="00F86853">
      <w:pPr>
        <w:pStyle w:val="BodyText"/>
        <w:outlineLvl w:val="0"/>
        <w:rPr>
          <w:rStyle w:val="IntenseEmphasis"/>
          <w:rFonts w:ascii="Cambria" w:hAnsi="Cambria"/>
          <w:i w:val="0"/>
          <w:color w:val="000000" w:themeColor="text1"/>
          <w:sz w:val="24"/>
          <w:szCs w:val="24"/>
        </w:rPr>
      </w:pPr>
    </w:p>
    <w:p w:rsidR="00F86853" w:rsidRPr="00907FC4" w:rsidRDefault="00907FC4" w:rsidP="00030905">
      <w:pPr>
        <w:pStyle w:val="BodyText"/>
        <w:jc w:val="center"/>
        <w:outlineLvl w:val="0"/>
        <w:rPr>
          <w:rStyle w:val="IntenseEmphasis"/>
          <w:rFonts w:ascii="Cambria" w:hAnsi="Cambria" w:cs="David"/>
          <w:b/>
          <w:i w:val="0"/>
          <w:color w:val="8E0000"/>
          <w:sz w:val="52"/>
          <w:szCs w:val="44"/>
        </w:rPr>
      </w:pPr>
      <w:r w:rsidRPr="00907FC4">
        <w:rPr>
          <w:rStyle w:val="IntenseEmphasis"/>
          <w:rFonts w:ascii="Cambria" w:hAnsi="Cambria" w:cs="David"/>
          <w:b/>
          <w:i w:val="0"/>
          <w:color w:val="8E0000"/>
          <w:sz w:val="52"/>
          <w:szCs w:val="44"/>
        </w:rPr>
        <w:t>Augļa anomāliju un placentas patoloģiju prenatālā diagnostika, solis tālāk</w:t>
      </w:r>
    </w:p>
    <w:p w:rsidR="00F86853" w:rsidRPr="0024332E" w:rsidRDefault="00F86853" w:rsidP="00F86853">
      <w:pPr>
        <w:pStyle w:val="BodyText"/>
        <w:jc w:val="both"/>
        <w:outlineLvl w:val="0"/>
        <w:rPr>
          <w:rStyle w:val="IntenseEmphasis"/>
          <w:rFonts w:ascii="Cambria" w:hAnsi="Cambria"/>
          <w:i w:val="0"/>
          <w:color w:val="000000" w:themeColor="text1"/>
          <w:sz w:val="24"/>
          <w:szCs w:val="16"/>
        </w:rPr>
      </w:pPr>
    </w:p>
    <w:p w:rsidR="002A49CF" w:rsidRPr="0024332E" w:rsidRDefault="002A49CF" w:rsidP="0024332E">
      <w:pPr>
        <w:pStyle w:val="BodyText"/>
        <w:outlineLvl w:val="0"/>
        <w:rPr>
          <w:rStyle w:val="IntenseEmphasis"/>
          <w:rFonts w:ascii="Cambria" w:hAnsi="Cambria"/>
          <w:i w:val="0"/>
          <w:color w:val="000000" w:themeColor="text1"/>
          <w:sz w:val="24"/>
          <w:szCs w:val="40"/>
        </w:rPr>
      </w:pPr>
    </w:p>
    <w:p w:rsidR="00F86853" w:rsidRPr="0024332E" w:rsidRDefault="00907FC4" w:rsidP="00660B62">
      <w:pPr>
        <w:pStyle w:val="BodyText"/>
        <w:jc w:val="center"/>
        <w:outlineLvl w:val="0"/>
        <w:rPr>
          <w:rStyle w:val="IntenseEmphasis"/>
          <w:rFonts w:ascii="Cambria" w:hAnsi="Cambria"/>
          <w:i w:val="0"/>
          <w:color w:val="E36C0A"/>
          <w:sz w:val="22"/>
          <w:szCs w:val="24"/>
        </w:rPr>
      </w:pPr>
      <w:r>
        <w:rPr>
          <w:rStyle w:val="IntenseEmphasis"/>
          <w:rFonts w:ascii="Cambria" w:hAnsi="Cambria"/>
          <w:i w:val="0"/>
          <w:color w:val="E36C0A"/>
          <w:sz w:val="36"/>
          <w:szCs w:val="40"/>
        </w:rPr>
        <w:t>2017</w:t>
      </w:r>
      <w:r w:rsidR="00660B62" w:rsidRPr="0024332E">
        <w:rPr>
          <w:rStyle w:val="IntenseEmphasis"/>
          <w:rFonts w:ascii="Cambria" w:hAnsi="Cambria"/>
          <w:i w:val="0"/>
          <w:color w:val="E36C0A"/>
          <w:sz w:val="36"/>
          <w:szCs w:val="40"/>
        </w:rPr>
        <w:t xml:space="preserve">. gada </w:t>
      </w:r>
      <w:r>
        <w:rPr>
          <w:rStyle w:val="IntenseEmphasis"/>
          <w:rFonts w:ascii="Cambria" w:hAnsi="Cambria"/>
          <w:i w:val="0"/>
          <w:color w:val="E36C0A"/>
          <w:sz w:val="36"/>
          <w:szCs w:val="40"/>
        </w:rPr>
        <w:t>8</w:t>
      </w:r>
      <w:r w:rsidR="00660B62" w:rsidRPr="0024332E">
        <w:rPr>
          <w:rStyle w:val="IntenseEmphasis"/>
          <w:rFonts w:ascii="Cambria" w:hAnsi="Cambria"/>
          <w:i w:val="0"/>
          <w:color w:val="E36C0A"/>
          <w:sz w:val="36"/>
          <w:szCs w:val="40"/>
        </w:rPr>
        <w:t>. decembris</w:t>
      </w:r>
    </w:p>
    <w:p w:rsidR="00660B62" w:rsidRPr="0024332E" w:rsidRDefault="00660B62" w:rsidP="00536E67">
      <w:pPr>
        <w:pStyle w:val="BodyText"/>
        <w:outlineLvl w:val="0"/>
        <w:rPr>
          <w:rStyle w:val="IntenseEmphasis"/>
          <w:rFonts w:ascii="Cambria" w:hAnsi="Cambria"/>
          <w:i w:val="0"/>
          <w:color w:val="E36C0A"/>
          <w:sz w:val="24"/>
          <w:szCs w:val="24"/>
        </w:rPr>
      </w:pPr>
    </w:p>
    <w:p w:rsidR="00F86853" w:rsidRPr="0024332E" w:rsidRDefault="00F86853" w:rsidP="00536E67">
      <w:pPr>
        <w:pStyle w:val="BodyText"/>
        <w:outlineLvl w:val="0"/>
        <w:rPr>
          <w:rStyle w:val="IntenseEmphasis"/>
          <w:rFonts w:ascii="Cambria" w:hAnsi="Cambria"/>
          <w:i w:val="0"/>
          <w:color w:val="000000"/>
          <w:sz w:val="24"/>
          <w:szCs w:val="24"/>
        </w:rPr>
      </w:pPr>
      <w:r w:rsidRPr="0024332E">
        <w:rPr>
          <w:rStyle w:val="IntenseEmphasis"/>
          <w:rFonts w:ascii="Cambria" w:hAnsi="Cambria"/>
          <w:i w:val="0"/>
          <w:color w:val="E36C0A"/>
          <w:sz w:val="24"/>
          <w:szCs w:val="24"/>
        </w:rPr>
        <w:t xml:space="preserve">Vieta: </w:t>
      </w:r>
      <w:r w:rsidR="00660B62" w:rsidRPr="0024332E">
        <w:rPr>
          <w:rStyle w:val="IntenseEmphasis"/>
          <w:rFonts w:ascii="Cambria" w:hAnsi="Cambria"/>
          <w:i w:val="0"/>
          <w:color w:val="000000"/>
          <w:sz w:val="24"/>
          <w:szCs w:val="24"/>
        </w:rPr>
        <w:t xml:space="preserve">RSU </w:t>
      </w:r>
      <w:r w:rsidR="00030905" w:rsidRPr="0024332E">
        <w:rPr>
          <w:rStyle w:val="IntenseEmphasis"/>
          <w:rFonts w:ascii="Cambria" w:hAnsi="Cambria"/>
          <w:b/>
          <w:i w:val="0"/>
          <w:color w:val="000000" w:themeColor="text1"/>
          <w:sz w:val="24"/>
          <w:szCs w:val="24"/>
        </w:rPr>
        <w:t xml:space="preserve">Hipokrāta </w:t>
      </w:r>
      <w:r w:rsidR="00660B62" w:rsidRPr="0024332E">
        <w:rPr>
          <w:rStyle w:val="IntenseEmphasis"/>
          <w:rFonts w:ascii="Cambria" w:hAnsi="Cambria"/>
          <w:b/>
          <w:i w:val="0"/>
          <w:color w:val="000000" w:themeColor="text1"/>
          <w:sz w:val="24"/>
          <w:szCs w:val="24"/>
        </w:rPr>
        <w:t>auditorija</w:t>
      </w:r>
      <w:r w:rsidR="00660B62" w:rsidRPr="0024332E">
        <w:rPr>
          <w:rStyle w:val="IntenseEmphasis"/>
          <w:rFonts w:ascii="Cambria" w:hAnsi="Cambria"/>
          <w:i w:val="0"/>
          <w:color w:val="000000"/>
          <w:sz w:val="24"/>
          <w:szCs w:val="24"/>
        </w:rPr>
        <w:t>, Dzirciema iela 16, Rīga</w:t>
      </w:r>
    </w:p>
    <w:p w:rsidR="00660B62" w:rsidRPr="0024332E" w:rsidRDefault="00660B62" w:rsidP="00536E67">
      <w:pPr>
        <w:pStyle w:val="BodyText"/>
        <w:outlineLvl w:val="0"/>
        <w:rPr>
          <w:rStyle w:val="IntenseEmphasis"/>
          <w:rFonts w:ascii="Cambria" w:hAnsi="Cambria"/>
          <w:i w:val="0"/>
          <w:color w:val="000000"/>
          <w:sz w:val="24"/>
          <w:szCs w:val="24"/>
        </w:rPr>
      </w:pPr>
    </w:p>
    <w:p w:rsidR="0024332E" w:rsidRDefault="0024332E" w:rsidP="00536E67">
      <w:pPr>
        <w:pStyle w:val="BodyText"/>
        <w:outlineLvl w:val="0"/>
        <w:rPr>
          <w:rFonts w:ascii="Cambria" w:hAnsi="Cambria"/>
          <w:b w:val="0"/>
          <w:color w:val="E36C0A" w:themeColor="accent6" w:themeShade="BF"/>
          <w:sz w:val="24"/>
          <w:szCs w:val="24"/>
        </w:rPr>
      </w:pPr>
      <w:r>
        <w:rPr>
          <w:rFonts w:ascii="Cambria" w:hAnsi="Cambria"/>
          <w:b w:val="0"/>
          <w:color w:val="E36C0A" w:themeColor="accent6" w:themeShade="BF"/>
          <w:sz w:val="24"/>
          <w:szCs w:val="24"/>
        </w:rPr>
        <w:t>VIDEOKONFERENCE:</w:t>
      </w:r>
    </w:p>
    <w:p w:rsidR="00660B62" w:rsidRDefault="00660B62" w:rsidP="0024332E">
      <w:pPr>
        <w:pStyle w:val="BodyText"/>
        <w:numPr>
          <w:ilvl w:val="0"/>
          <w:numId w:val="11"/>
        </w:numPr>
        <w:outlineLvl w:val="0"/>
        <w:rPr>
          <w:rFonts w:ascii="Cambria" w:hAnsi="Cambria"/>
          <w:b w:val="0"/>
          <w:sz w:val="24"/>
          <w:szCs w:val="24"/>
        </w:rPr>
      </w:pPr>
      <w:r w:rsidRPr="0024332E">
        <w:rPr>
          <w:rFonts w:ascii="Cambria" w:hAnsi="Cambria"/>
          <w:b w:val="0"/>
          <w:sz w:val="24"/>
          <w:szCs w:val="24"/>
        </w:rPr>
        <w:t>Liepājas reģionālā slimnīca</w:t>
      </w:r>
    </w:p>
    <w:p w:rsidR="0024332E" w:rsidRPr="0024332E" w:rsidRDefault="0024332E" w:rsidP="0024332E">
      <w:pPr>
        <w:pStyle w:val="BodyText"/>
        <w:numPr>
          <w:ilvl w:val="0"/>
          <w:numId w:val="11"/>
        </w:numPr>
        <w:outlineLvl w:val="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Vidzemes slimnīca</w:t>
      </w:r>
    </w:p>
    <w:p w:rsidR="002A49CF" w:rsidRPr="0024332E" w:rsidRDefault="002A49CF" w:rsidP="00536E67">
      <w:pPr>
        <w:pStyle w:val="BodyText"/>
        <w:outlineLvl w:val="0"/>
        <w:rPr>
          <w:rFonts w:ascii="Cambria" w:hAnsi="Cambria"/>
          <w:bCs/>
          <w:iCs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1667"/>
        <w:gridCol w:w="6651"/>
        <w:gridCol w:w="1536"/>
      </w:tblGrid>
      <w:tr w:rsidR="002A49CF" w:rsidRPr="0024332E" w:rsidTr="007C1C03">
        <w:tc>
          <w:tcPr>
            <w:tcW w:w="846" w:type="pct"/>
            <w:shd w:val="clear" w:color="auto" w:fill="F79646"/>
          </w:tcPr>
          <w:p w:rsidR="00660B62" w:rsidRPr="0024332E" w:rsidRDefault="00660B62" w:rsidP="00EE235B">
            <w:pPr>
              <w:spacing w:after="0" w:line="240" w:lineRule="auto"/>
              <w:jc w:val="center"/>
              <w:rPr>
                <w:rFonts w:asciiTheme="majorHAnsi" w:eastAsia="Times New Roman" w:hAnsiTheme="majorHAnsi" w:cs="David"/>
                <w:b/>
                <w:bCs/>
                <w:color w:val="FFFFFF"/>
              </w:rPr>
            </w:pPr>
            <w:r w:rsidRPr="0024332E">
              <w:rPr>
                <w:rFonts w:asciiTheme="majorHAnsi" w:eastAsia="Times New Roman" w:hAnsiTheme="majorHAnsi" w:cs="David"/>
                <w:b/>
                <w:bCs/>
                <w:color w:val="FFFFFF"/>
              </w:rPr>
              <w:t>Laiks</w:t>
            </w:r>
          </w:p>
        </w:tc>
        <w:tc>
          <w:tcPr>
            <w:tcW w:w="3374" w:type="pct"/>
            <w:shd w:val="clear" w:color="auto" w:fill="F79646"/>
          </w:tcPr>
          <w:p w:rsidR="00660B62" w:rsidRPr="0024332E" w:rsidRDefault="00660B62" w:rsidP="00EE235B">
            <w:pPr>
              <w:spacing w:after="0" w:line="240" w:lineRule="auto"/>
              <w:jc w:val="center"/>
              <w:rPr>
                <w:rFonts w:asciiTheme="majorHAnsi" w:eastAsia="Times New Roman" w:hAnsiTheme="majorHAnsi" w:cs="David"/>
                <w:b/>
                <w:color w:val="FFFFFF"/>
              </w:rPr>
            </w:pPr>
            <w:r w:rsidRPr="0024332E">
              <w:rPr>
                <w:rFonts w:asciiTheme="majorHAnsi" w:eastAsia="Times New Roman" w:hAnsiTheme="majorHAnsi" w:cs="David"/>
                <w:b/>
                <w:color w:val="FFFFFF"/>
              </w:rPr>
              <w:t>Tēma</w:t>
            </w:r>
          </w:p>
        </w:tc>
        <w:tc>
          <w:tcPr>
            <w:tcW w:w="779" w:type="pct"/>
            <w:shd w:val="clear" w:color="auto" w:fill="F79646"/>
          </w:tcPr>
          <w:p w:rsidR="00660B62" w:rsidRPr="0024332E" w:rsidRDefault="00660B62" w:rsidP="00EE235B">
            <w:pPr>
              <w:spacing w:after="0" w:line="240" w:lineRule="auto"/>
              <w:jc w:val="center"/>
              <w:rPr>
                <w:rFonts w:asciiTheme="majorHAnsi" w:eastAsia="Times New Roman" w:hAnsiTheme="majorHAnsi" w:cs="David"/>
                <w:b/>
                <w:color w:val="FFFFFF"/>
              </w:rPr>
            </w:pPr>
            <w:r w:rsidRPr="0024332E">
              <w:rPr>
                <w:rFonts w:asciiTheme="majorHAnsi" w:eastAsia="Times New Roman" w:hAnsiTheme="majorHAnsi" w:cs="David"/>
                <w:b/>
                <w:color w:val="FFFFFF"/>
              </w:rPr>
              <w:t>Lektors</w:t>
            </w:r>
          </w:p>
        </w:tc>
      </w:tr>
      <w:tr w:rsidR="00FB4E79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FDE9D9" w:themeFill="accent6" w:themeFillTint="33"/>
          </w:tcPr>
          <w:p w:rsidR="00FB4E79" w:rsidRPr="0024332E" w:rsidRDefault="00907FC4" w:rsidP="00030905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7.30 – 8</w:t>
            </w:r>
            <w:r w:rsidR="00FB4E79" w:rsidRPr="0024332E">
              <w:rPr>
                <w:rFonts w:asciiTheme="majorHAnsi" w:hAnsiTheme="majorHAnsi" w:cs="Arial"/>
              </w:rPr>
              <w:t>.00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FDE9D9" w:themeFill="accent6" w:themeFillTint="33"/>
          </w:tcPr>
          <w:p w:rsidR="00FB4E79" w:rsidRPr="0024332E" w:rsidRDefault="00FB4E79" w:rsidP="0024332E">
            <w:pPr>
              <w:spacing w:after="120" w:line="240" w:lineRule="auto"/>
              <w:rPr>
                <w:rFonts w:asciiTheme="majorHAnsi" w:hAnsiTheme="majorHAnsi"/>
                <w:color w:val="E36C0A" w:themeColor="accent6" w:themeShade="BF"/>
              </w:rPr>
            </w:pPr>
            <w:r w:rsidRPr="0024332E">
              <w:rPr>
                <w:rFonts w:asciiTheme="majorHAnsi" w:hAnsiTheme="majorHAnsi"/>
                <w:color w:val="E36C0A" w:themeColor="accent6" w:themeShade="BF"/>
              </w:rPr>
              <w:t xml:space="preserve">Reģistrācija 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FDE9D9" w:themeFill="accent6" w:themeFillTint="33"/>
          </w:tcPr>
          <w:p w:rsidR="00FB4E79" w:rsidRPr="0024332E" w:rsidRDefault="00FB4E79" w:rsidP="0003090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2A49CF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660B62" w:rsidRPr="0024332E" w:rsidRDefault="00907FC4" w:rsidP="00030905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8.00 – 8.45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660B62" w:rsidRPr="0024332E" w:rsidRDefault="00907FC4" w:rsidP="0024332E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Augļa venozā sistēma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660B62" w:rsidRPr="0024332E" w:rsidRDefault="00907FC4" w:rsidP="00030905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Vedmedovska</w:t>
            </w:r>
          </w:p>
        </w:tc>
      </w:tr>
      <w:tr w:rsidR="002A49CF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660B62" w:rsidRPr="0024332E" w:rsidRDefault="00907FC4" w:rsidP="00030905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8.45 – 9.30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660B62" w:rsidRPr="0024332E" w:rsidRDefault="00A861D4" w:rsidP="0024332E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CNS anomāliju diagnostika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660B62" w:rsidRPr="0024332E" w:rsidRDefault="00A861D4" w:rsidP="00030905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Vedmedovska</w:t>
            </w:r>
          </w:p>
        </w:tc>
      </w:tr>
      <w:tr w:rsidR="00A861D4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A861D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9.30 – 10.15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7A166C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Biežākie ģenētiskie sindromi ar CNS patoloģiju izpausmi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A861D4" w:rsidRPr="0024332E" w:rsidRDefault="00A861D4" w:rsidP="007A166C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Korņejeva</w:t>
            </w:r>
          </w:p>
        </w:tc>
      </w:tr>
      <w:tr w:rsidR="00A861D4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FB4E7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CA3AD5" w:rsidRDefault="00CA3AD5" w:rsidP="0024332E">
            <w:pPr>
              <w:spacing w:after="120" w:line="240" w:lineRule="auto"/>
              <w:rPr>
                <w:rFonts w:asciiTheme="majorHAnsi" w:hAnsiTheme="majorHAnsi"/>
                <w:i/>
                <w:color w:val="E36C0A" w:themeColor="accent6" w:themeShade="BF"/>
              </w:rPr>
            </w:pPr>
            <w:r w:rsidRPr="00CA3AD5">
              <w:rPr>
                <w:rFonts w:asciiTheme="majorHAnsi" w:hAnsiTheme="majorHAnsi"/>
                <w:i/>
                <w:color w:val="E36C0A" w:themeColor="accent6" w:themeShade="BF"/>
              </w:rPr>
              <w:t>Pārtraukums 15 min.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A861D4" w:rsidRPr="0024332E" w:rsidRDefault="00A861D4" w:rsidP="0003090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A861D4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FB4E7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10.30 – 11.15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24332E">
            <w:pPr>
              <w:spacing w:after="120" w:line="240" w:lineRule="auto"/>
              <w:rPr>
                <w:rFonts w:asciiTheme="majorHAnsi" w:hAnsiTheme="majorHAnsi"/>
                <w:color w:val="E36C0A" w:themeColor="accent6" w:themeShade="BF"/>
              </w:rPr>
            </w:pPr>
            <w:r w:rsidRPr="00907FC4">
              <w:rPr>
                <w:rFonts w:asciiTheme="majorHAnsi" w:hAnsiTheme="majorHAnsi"/>
              </w:rPr>
              <w:t>Placentas, nabassaites veidojumi, biežāk sastopamie veidojumi auglim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A861D4" w:rsidRPr="0024332E" w:rsidRDefault="00A861D4" w:rsidP="00030905">
            <w:pPr>
              <w:spacing w:after="0" w:line="240" w:lineRule="auto"/>
              <w:rPr>
                <w:rFonts w:asciiTheme="majorHAnsi" w:hAnsiTheme="majorHAnsi"/>
                <w:color w:val="E36C0A" w:themeColor="accent6" w:themeShade="BF"/>
              </w:rPr>
            </w:pPr>
            <w:r w:rsidRPr="00907FC4">
              <w:rPr>
                <w:rFonts w:asciiTheme="majorHAnsi" w:hAnsiTheme="majorHAnsi"/>
              </w:rPr>
              <w:t>Ezeriņa</w:t>
            </w:r>
          </w:p>
        </w:tc>
      </w:tr>
      <w:tr w:rsidR="00A861D4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A861D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11.15 – 12.00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F840D0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Iedzimtas anomālijas, prenatāla diagnostika un ārstēšanas rezultāti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A861D4" w:rsidRPr="0024332E" w:rsidRDefault="00A861D4" w:rsidP="00F840D0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Pētersons</w:t>
            </w:r>
          </w:p>
        </w:tc>
      </w:tr>
      <w:tr w:rsidR="00A861D4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A861D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12.00 – 12.45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A861D4" w:rsidRPr="0024332E" w:rsidRDefault="00A861D4" w:rsidP="00F840D0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Augļa CNS anomāliju prenatālā MR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A861D4" w:rsidRPr="0024332E" w:rsidRDefault="00A861D4" w:rsidP="00F840D0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Dzelzīte</w:t>
            </w:r>
          </w:p>
        </w:tc>
      </w:tr>
      <w:tr w:rsidR="00CA3AD5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24332E" w:rsidRDefault="00CA3AD5" w:rsidP="00030905">
            <w:pPr>
              <w:spacing w:after="0" w:line="240" w:lineRule="auto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CA3AD5" w:rsidRDefault="00CA3AD5" w:rsidP="00CA3AD5">
            <w:pPr>
              <w:spacing w:after="120" w:line="240" w:lineRule="auto"/>
              <w:rPr>
                <w:rFonts w:asciiTheme="majorHAnsi" w:hAnsiTheme="majorHAnsi"/>
                <w:i/>
                <w:color w:val="E36C0A" w:themeColor="accent6" w:themeShade="BF"/>
              </w:rPr>
            </w:pPr>
            <w:r w:rsidRPr="00CA3AD5">
              <w:rPr>
                <w:rFonts w:asciiTheme="majorHAnsi" w:hAnsiTheme="majorHAnsi"/>
                <w:i/>
                <w:color w:val="E36C0A" w:themeColor="accent6" w:themeShade="BF"/>
              </w:rPr>
              <w:t xml:space="preserve">Pārtraukums </w:t>
            </w:r>
            <w:r>
              <w:rPr>
                <w:rFonts w:asciiTheme="majorHAnsi" w:hAnsiTheme="majorHAnsi"/>
                <w:i/>
                <w:color w:val="E36C0A" w:themeColor="accent6" w:themeShade="BF"/>
              </w:rPr>
              <w:t>4</w:t>
            </w:r>
            <w:r w:rsidRPr="00CA3AD5">
              <w:rPr>
                <w:rFonts w:asciiTheme="majorHAnsi" w:hAnsiTheme="majorHAnsi"/>
                <w:i/>
                <w:color w:val="E36C0A" w:themeColor="accent6" w:themeShade="BF"/>
              </w:rPr>
              <w:t>5 min.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CA3AD5" w:rsidRPr="0024332E" w:rsidRDefault="00CA3AD5" w:rsidP="0003090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A3AD5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24332E" w:rsidRDefault="00CA3AD5" w:rsidP="00CA3AD5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13.30 – 15.00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24332E" w:rsidRDefault="00CA3AD5" w:rsidP="0079223A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Patoloģiska placentācija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CA3AD5" w:rsidRPr="0024332E" w:rsidRDefault="00CA3AD5" w:rsidP="0079223A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Bokučava</w:t>
            </w:r>
          </w:p>
        </w:tc>
      </w:tr>
      <w:tr w:rsidR="00CA3AD5" w:rsidRPr="0024332E" w:rsidTr="007C1C03">
        <w:tc>
          <w:tcPr>
            <w:tcW w:w="846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24332E" w:rsidRDefault="00CA3AD5" w:rsidP="00A861D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15.00 – 15.45</w:t>
            </w:r>
          </w:p>
        </w:tc>
        <w:tc>
          <w:tcPr>
            <w:tcW w:w="3374" w:type="pct"/>
            <w:tcBorders>
              <w:top w:val="single" w:sz="8" w:space="0" w:color="F79646"/>
              <w:bottom w:val="single" w:sz="8" w:space="0" w:color="F79646"/>
            </w:tcBorders>
            <w:shd w:val="clear" w:color="auto" w:fill="auto"/>
          </w:tcPr>
          <w:p w:rsidR="00CA3AD5" w:rsidRPr="0024332E" w:rsidRDefault="00CA3AD5" w:rsidP="0079223A">
            <w:pPr>
              <w:spacing w:after="12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 xml:space="preserve">Augļa stāvoklis saistībā ar mātes saslimšanām </w:t>
            </w:r>
          </w:p>
        </w:tc>
        <w:tc>
          <w:tcPr>
            <w:tcW w:w="779" w:type="pct"/>
            <w:tcBorders>
              <w:top w:val="single" w:sz="8" w:space="0" w:color="F79646"/>
              <w:bottom w:val="single" w:sz="8" w:space="0" w:color="F79646"/>
            </w:tcBorders>
          </w:tcPr>
          <w:p w:rsidR="00CA3AD5" w:rsidRPr="0024332E" w:rsidRDefault="00CA3AD5" w:rsidP="0079223A">
            <w:pPr>
              <w:spacing w:after="0" w:line="240" w:lineRule="auto"/>
              <w:rPr>
                <w:rFonts w:asciiTheme="majorHAnsi" w:hAnsiTheme="majorHAnsi"/>
              </w:rPr>
            </w:pPr>
            <w:r w:rsidRPr="00907FC4">
              <w:rPr>
                <w:rFonts w:asciiTheme="majorHAnsi" w:hAnsiTheme="majorHAnsi"/>
              </w:rPr>
              <w:t>Matule</w:t>
            </w:r>
          </w:p>
        </w:tc>
      </w:tr>
    </w:tbl>
    <w:p w:rsidR="00F86853" w:rsidRPr="00457950" w:rsidRDefault="00F86853">
      <w:pPr>
        <w:rPr>
          <w:rFonts w:ascii="Cambria" w:hAnsi="Cambria"/>
        </w:rPr>
      </w:pPr>
    </w:p>
    <w:sectPr w:rsidR="00F86853" w:rsidRPr="00457950" w:rsidSect="00F8685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utch TL">
    <w:altName w:val="Luminari"/>
    <w:charset w:val="BA"/>
    <w:family w:val="roman"/>
    <w:pitch w:val="variable"/>
    <w:sig w:usb0="800002AF" w:usb1="5000204A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19"/>
    <w:multiLevelType w:val="hybridMultilevel"/>
    <w:tmpl w:val="DD7C5730"/>
    <w:lvl w:ilvl="0" w:tplc="1610B94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11657833"/>
    <w:multiLevelType w:val="hybridMultilevel"/>
    <w:tmpl w:val="C90C8440"/>
    <w:lvl w:ilvl="0" w:tplc="1610B94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2D932435"/>
    <w:multiLevelType w:val="hybridMultilevel"/>
    <w:tmpl w:val="6C045E32"/>
    <w:lvl w:ilvl="0" w:tplc="1610B94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6A7671E"/>
    <w:multiLevelType w:val="hybridMultilevel"/>
    <w:tmpl w:val="8446D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767E1"/>
    <w:multiLevelType w:val="hybridMultilevel"/>
    <w:tmpl w:val="EA1CEF14"/>
    <w:lvl w:ilvl="0" w:tplc="69CC2F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4636F"/>
    <w:multiLevelType w:val="hybridMultilevel"/>
    <w:tmpl w:val="CE982B0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1290F"/>
    <w:multiLevelType w:val="hybridMultilevel"/>
    <w:tmpl w:val="F434F730"/>
    <w:lvl w:ilvl="0" w:tplc="62D4C2DC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A600C"/>
    <w:multiLevelType w:val="hybridMultilevel"/>
    <w:tmpl w:val="C956884A"/>
    <w:lvl w:ilvl="0" w:tplc="1610B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E52508"/>
    <w:multiLevelType w:val="hybridMultilevel"/>
    <w:tmpl w:val="BA5870F2"/>
    <w:lvl w:ilvl="0" w:tplc="1610B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9E2678"/>
    <w:multiLevelType w:val="hybridMultilevel"/>
    <w:tmpl w:val="2510260A"/>
    <w:lvl w:ilvl="0" w:tplc="781E9A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D5F1A"/>
    <w:multiLevelType w:val="hybridMultilevel"/>
    <w:tmpl w:val="47F29EEA"/>
    <w:lvl w:ilvl="0" w:tplc="1610B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53"/>
    <w:rsid w:val="00030905"/>
    <w:rsid w:val="00065BF3"/>
    <w:rsid w:val="00153160"/>
    <w:rsid w:val="0024332E"/>
    <w:rsid w:val="002A49CF"/>
    <w:rsid w:val="00352A04"/>
    <w:rsid w:val="003B053E"/>
    <w:rsid w:val="00457950"/>
    <w:rsid w:val="004C333F"/>
    <w:rsid w:val="005042AD"/>
    <w:rsid w:val="00536E67"/>
    <w:rsid w:val="00563F81"/>
    <w:rsid w:val="005A6982"/>
    <w:rsid w:val="005E53C7"/>
    <w:rsid w:val="00605002"/>
    <w:rsid w:val="00660B62"/>
    <w:rsid w:val="007414F0"/>
    <w:rsid w:val="007C1C03"/>
    <w:rsid w:val="008567C0"/>
    <w:rsid w:val="00907FC4"/>
    <w:rsid w:val="00941BAE"/>
    <w:rsid w:val="00A861D4"/>
    <w:rsid w:val="00B05A69"/>
    <w:rsid w:val="00C12C4F"/>
    <w:rsid w:val="00CA3AD5"/>
    <w:rsid w:val="00D26C6E"/>
    <w:rsid w:val="00DE412C"/>
    <w:rsid w:val="00E75322"/>
    <w:rsid w:val="00EE235B"/>
    <w:rsid w:val="00F86853"/>
    <w:rsid w:val="00F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6853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customStyle="1" w:styleId="BodyTextChar">
    <w:name w:val="Body Text Char"/>
    <w:link w:val="BodyText"/>
    <w:rsid w:val="00F8685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IntenseEmphasis">
    <w:name w:val="Intense Emphasis"/>
    <w:uiPriority w:val="21"/>
    <w:qFormat/>
    <w:rsid w:val="00F86853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85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6853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customStyle="1" w:styleId="BodyTextChar">
    <w:name w:val="Body Text Char"/>
    <w:link w:val="BodyText"/>
    <w:rsid w:val="00F8685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IntenseEmphasis">
    <w:name w:val="Intense Emphasis"/>
    <w:uiPriority w:val="21"/>
    <w:qFormat/>
    <w:rsid w:val="00F86853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85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/>
      <vt:lpstr/>
      <vt:lpstr>PROFESIONĀLĀS PILNVEIDES PROGRAMMA</vt:lpstr>
      <vt:lpstr/>
      <vt:lpstr>Augļa anomāliju un placentas patoloģiju prenatālā diagnostika, solis tālāk</vt:lpstr>
      <vt:lpstr/>
      <vt:lpstr/>
      <vt:lpstr>2017. gada 8. decembris</vt:lpstr>
      <vt:lpstr/>
      <vt:lpstr>Vieta: RSU Hipokrāta auditorija, Dzirciema iela 16, Rīga</vt:lpstr>
      <vt:lpstr/>
      <vt:lpstr>VIDEOKONFERENCE:</vt:lpstr>
      <vt:lpstr>Liepājas reģionālā slimnīca</vt:lpstr>
      <vt:lpstr>Vidzemes slimnīca</vt:lpstr>
      <vt:lpstr/>
    </vt:vector>
  </TitlesOfParts>
  <Company>Riga Stradins University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Belševica</dc:creator>
  <cp:lastModifiedBy>Natalija1</cp:lastModifiedBy>
  <cp:revision>2</cp:revision>
  <dcterms:created xsi:type="dcterms:W3CDTF">2017-11-22T18:43:00Z</dcterms:created>
  <dcterms:modified xsi:type="dcterms:W3CDTF">2017-11-22T18:43:00Z</dcterms:modified>
</cp:coreProperties>
</file>