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AC4C8" w14:textId="477563AE" w:rsidR="00B9179F" w:rsidRDefault="002F2C01" w:rsidP="00B9179F">
      <w:pPr>
        <w:spacing w:line="240" w:lineRule="auto"/>
        <w:jc w:val="both"/>
        <w:rPr>
          <w:rFonts w:ascii="Times New Roman" w:hAnsi="Times New Roman" w:cs="Times New Roman"/>
          <w:sz w:val="24"/>
          <w:szCs w:val="24"/>
          <w:lang w:val="lv-LV"/>
        </w:rPr>
      </w:pPr>
      <w:r>
        <w:rPr>
          <w:noProof/>
        </w:rPr>
        <w:drawing>
          <wp:anchor distT="0" distB="0" distL="114300" distR="114300" simplePos="0" relativeHeight="251673600" behindDoc="1" locked="0" layoutInCell="1" allowOverlap="1" wp14:anchorId="438B3FF0" wp14:editId="44A0B585">
            <wp:simplePos x="0" y="0"/>
            <wp:positionH relativeFrom="column">
              <wp:posOffset>2245995</wp:posOffset>
            </wp:positionH>
            <wp:positionV relativeFrom="paragraph">
              <wp:posOffset>-47625</wp:posOffset>
            </wp:positionV>
            <wp:extent cx="1436370" cy="946785"/>
            <wp:effectExtent l="0" t="0" r="0" b="5715"/>
            <wp:wrapTight wrapText="bothSides">
              <wp:wrapPolygon edited="0">
                <wp:start x="0" y="0"/>
                <wp:lineTo x="0" y="21296"/>
                <wp:lineTo x="21199" y="21296"/>
                <wp:lineTo x="21199" y="0"/>
                <wp:lineTo x="0" y="0"/>
              </wp:wrapPolygon>
            </wp:wrapTight>
            <wp:docPr id="1" name="il_fi" descr="http://www.google.fr/url?source=imglanding&amp;ct=img&amp;q=http://www.jekabpilsrs.lv/upload_files/list_sm/list141.jpg&amp;sa=X&amp;ved=0CAkQ8wdqFQoTCPeP0-a6jMYCFQFvFAodty8AkQ&amp;usg=AFQjCNHDTNcxaVtsG0LiZSLvMo3Jp804t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fr/url?source=imglanding&amp;ct=img&amp;q=http://www.jekabpilsrs.lv/upload_files/list_sm/list141.jpg&amp;sa=X&amp;ved=0CAkQ8wdqFQoTCPeP0-a6jMYCFQFvFAodty8AkQ&amp;usg=AFQjCNHDTNcxaVtsG0LiZSLvMo3Jp804t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637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5A649B" w14:textId="77777777" w:rsidR="002F2C01" w:rsidRDefault="002F2C01" w:rsidP="002F2C01">
      <w:pPr>
        <w:spacing w:line="240" w:lineRule="auto"/>
        <w:jc w:val="center"/>
        <w:rPr>
          <w:rFonts w:ascii="Times New Roman" w:hAnsi="Times New Roman" w:cs="Times New Roman"/>
          <w:sz w:val="24"/>
          <w:szCs w:val="24"/>
          <w:lang w:val="lv-LV"/>
        </w:rPr>
      </w:pPr>
    </w:p>
    <w:p w14:paraId="1DD27D6E" w14:textId="77777777" w:rsidR="002F2C01" w:rsidRDefault="002F2C01" w:rsidP="002F2C01">
      <w:pPr>
        <w:spacing w:line="240" w:lineRule="auto"/>
        <w:jc w:val="center"/>
        <w:rPr>
          <w:rFonts w:ascii="Times New Roman" w:hAnsi="Times New Roman" w:cs="Times New Roman"/>
          <w:sz w:val="24"/>
          <w:szCs w:val="24"/>
          <w:lang w:val="lv-LV"/>
        </w:rPr>
      </w:pPr>
    </w:p>
    <w:p w14:paraId="2F22A6C0" w14:textId="77777777" w:rsidR="002F2C01" w:rsidRDefault="002F2C01" w:rsidP="002F2C01">
      <w:pPr>
        <w:spacing w:line="240" w:lineRule="auto"/>
        <w:jc w:val="center"/>
        <w:rPr>
          <w:rFonts w:ascii="Times New Roman" w:hAnsi="Times New Roman" w:cs="Times New Roman"/>
          <w:sz w:val="24"/>
          <w:szCs w:val="24"/>
          <w:lang w:val="lv-LV"/>
        </w:rPr>
      </w:pPr>
    </w:p>
    <w:p w14:paraId="65D42B2A" w14:textId="352BE17A" w:rsidR="00B9179F" w:rsidRPr="00B9179F" w:rsidRDefault="00B9179F" w:rsidP="002F2C01">
      <w:pPr>
        <w:spacing w:line="240" w:lineRule="auto"/>
        <w:jc w:val="center"/>
        <w:rPr>
          <w:rFonts w:ascii="Times New Roman" w:hAnsi="Times New Roman" w:cs="Times New Roman"/>
          <w:sz w:val="24"/>
          <w:szCs w:val="24"/>
          <w:lang w:val="lv-LV"/>
        </w:rPr>
      </w:pPr>
      <w:r w:rsidRPr="00B9179F">
        <w:rPr>
          <w:rFonts w:ascii="Times New Roman" w:hAnsi="Times New Roman" w:cs="Times New Roman"/>
          <w:sz w:val="24"/>
          <w:szCs w:val="24"/>
          <w:lang w:val="lv-LV"/>
        </w:rPr>
        <w:t>Rīgas Stradiņa Universitāte</w:t>
      </w:r>
    </w:p>
    <w:p w14:paraId="0329D333" w14:textId="3EE8819D" w:rsidR="00B9179F" w:rsidRPr="00B9179F" w:rsidRDefault="00B9179F" w:rsidP="002F2C01">
      <w:pPr>
        <w:spacing w:line="240" w:lineRule="auto"/>
        <w:jc w:val="center"/>
        <w:rPr>
          <w:rFonts w:ascii="Times New Roman" w:hAnsi="Times New Roman" w:cs="Times New Roman"/>
          <w:sz w:val="24"/>
          <w:szCs w:val="24"/>
          <w:lang w:val="lv-LV"/>
        </w:rPr>
      </w:pPr>
      <w:r w:rsidRPr="00B9179F">
        <w:rPr>
          <w:rFonts w:ascii="Times New Roman" w:hAnsi="Times New Roman" w:cs="Times New Roman"/>
          <w:sz w:val="24"/>
          <w:szCs w:val="24"/>
          <w:lang w:val="lv-LV"/>
        </w:rPr>
        <w:t>T</w:t>
      </w:r>
      <w:r w:rsidR="002F2C01">
        <w:rPr>
          <w:rFonts w:ascii="Times New Roman" w:hAnsi="Times New Roman" w:cs="Times New Roman"/>
          <w:sz w:val="24"/>
          <w:szCs w:val="24"/>
          <w:lang w:val="lv-LV"/>
        </w:rPr>
        <w:t>ā</w:t>
      </w:r>
      <w:r w:rsidRPr="00B9179F">
        <w:rPr>
          <w:rFonts w:ascii="Times New Roman" w:hAnsi="Times New Roman" w:cs="Times New Roman"/>
          <w:sz w:val="24"/>
          <w:szCs w:val="24"/>
          <w:lang w:val="lv-LV"/>
        </w:rPr>
        <w:t>lākizglītības fakultāte</w:t>
      </w:r>
    </w:p>
    <w:p w14:paraId="7697F51C" w14:textId="14DFFF06" w:rsidR="00B9179F" w:rsidRPr="00B9179F" w:rsidRDefault="00B9179F" w:rsidP="002F2C01">
      <w:pPr>
        <w:spacing w:line="240" w:lineRule="auto"/>
        <w:jc w:val="center"/>
        <w:rPr>
          <w:rFonts w:ascii="Times New Roman" w:hAnsi="Times New Roman" w:cs="Times New Roman"/>
          <w:sz w:val="24"/>
          <w:szCs w:val="24"/>
          <w:lang w:val="lv-LV"/>
        </w:rPr>
      </w:pPr>
      <w:r w:rsidRPr="00B9179F">
        <w:rPr>
          <w:rFonts w:ascii="Times New Roman" w:hAnsi="Times New Roman" w:cs="Times New Roman"/>
          <w:sz w:val="24"/>
          <w:szCs w:val="24"/>
          <w:lang w:val="lv-LV"/>
        </w:rPr>
        <w:t>Dzemdniecība un ginekoloģija</w:t>
      </w:r>
    </w:p>
    <w:p w14:paraId="4F55F980" w14:textId="77777777" w:rsidR="002F2C01" w:rsidRDefault="002F2C01" w:rsidP="002F2C01">
      <w:pPr>
        <w:spacing w:line="360" w:lineRule="auto"/>
        <w:jc w:val="center"/>
        <w:rPr>
          <w:rFonts w:ascii="Times New Roman" w:hAnsi="Times New Roman" w:cs="Times New Roman"/>
          <w:b/>
          <w:sz w:val="32"/>
          <w:szCs w:val="32"/>
          <w:lang w:val="lv-LV"/>
        </w:rPr>
      </w:pPr>
    </w:p>
    <w:p w14:paraId="30517D44" w14:textId="77777777" w:rsidR="002F2C01" w:rsidRDefault="002F2C01" w:rsidP="002F2C01">
      <w:pPr>
        <w:spacing w:line="360" w:lineRule="auto"/>
        <w:jc w:val="center"/>
        <w:rPr>
          <w:rFonts w:ascii="Times New Roman" w:hAnsi="Times New Roman" w:cs="Times New Roman"/>
          <w:b/>
          <w:sz w:val="32"/>
          <w:szCs w:val="32"/>
          <w:lang w:val="lv-LV"/>
        </w:rPr>
      </w:pPr>
    </w:p>
    <w:p w14:paraId="5BE27B63" w14:textId="36EDAFA0" w:rsidR="00DA57AB" w:rsidRDefault="00B9179F" w:rsidP="002F2C01">
      <w:pPr>
        <w:spacing w:line="360" w:lineRule="auto"/>
        <w:jc w:val="center"/>
        <w:rPr>
          <w:rFonts w:ascii="Times New Roman" w:hAnsi="Times New Roman" w:cs="Times New Roman"/>
          <w:b/>
          <w:sz w:val="32"/>
          <w:szCs w:val="32"/>
          <w:lang w:val="lv-LV"/>
        </w:rPr>
      </w:pPr>
      <w:r w:rsidRPr="00B9179F">
        <w:rPr>
          <w:rFonts w:ascii="Times New Roman" w:hAnsi="Times New Roman" w:cs="Times New Roman"/>
          <w:b/>
          <w:sz w:val="32"/>
          <w:szCs w:val="32"/>
          <w:lang w:val="lv-LV"/>
        </w:rPr>
        <w:t xml:space="preserve">Histeroskopijas loma patologiskas dzemdes asiņošanas strukturālo patoloģiju </w:t>
      </w:r>
      <w:r>
        <w:rPr>
          <w:rFonts w:ascii="Times New Roman" w:hAnsi="Times New Roman" w:cs="Times New Roman"/>
          <w:b/>
          <w:sz w:val="32"/>
          <w:szCs w:val="32"/>
          <w:lang w:val="lv-LV"/>
        </w:rPr>
        <w:t>izmeklēšanā</w:t>
      </w:r>
      <w:r w:rsidR="002F2C01">
        <w:rPr>
          <w:rFonts w:ascii="Times New Roman" w:hAnsi="Times New Roman" w:cs="Times New Roman"/>
          <w:b/>
          <w:sz w:val="32"/>
          <w:szCs w:val="32"/>
          <w:lang w:val="lv-LV"/>
        </w:rPr>
        <w:t>.</w:t>
      </w:r>
    </w:p>
    <w:p w14:paraId="6F75D9B0" w14:textId="77777777" w:rsidR="00B9179F" w:rsidRDefault="00B9179F" w:rsidP="00B9179F">
      <w:pPr>
        <w:spacing w:after="0" w:line="240" w:lineRule="auto"/>
        <w:jc w:val="both"/>
        <w:rPr>
          <w:rFonts w:ascii="Times New Roman" w:hAnsi="Times New Roman" w:cs="Times New Roman"/>
          <w:sz w:val="24"/>
          <w:szCs w:val="24"/>
          <w:lang w:val="lv-LV"/>
        </w:rPr>
      </w:pPr>
    </w:p>
    <w:p w14:paraId="172D2303" w14:textId="77777777" w:rsidR="00B9179F" w:rsidRDefault="00B9179F" w:rsidP="00B9179F">
      <w:pPr>
        <w:spacing w:after="0" w:line="240" w:lineRule="auto"/>
        <w:jc w:val="both"/>
        <w:rPr>
          <w:rFonts w:ascii="Times New Roman" w:hAnsi="Times New Roman" w:cs="Times New Roman"/>
          <w:sz w:val="24"/>
          <w:szCs w:val="24"/>
          <w:lang w:val="lv-LV"/>
        </w:rPr>
      </w:pPr>
    </w:p>
    <w:p w14:paraId="39A4D71F" w14:textId="77777777" w:rsidR="00B9179F" w:rsidRDefault="00B9179F" w:rsidP="00B9179F">
      <w:pPr>
        <w:spacing w:after="0" w:line="240" w:lineRule="auto"/>
        <w:jc w:val="both"/>
        <w:rPr>
          <w:rFonts w:ascii="Times New Roman" w:hAnsi="Times New Roman" w:cs="Times New Roman"/>
          <w:sz w:val="24"/>
          <w:szCs w:val="24"/>
          <w:lang w:val="lv-LV"/>
        </w:rPr>
      </w:pPr>
    </w:p>
    <w:p w14:paraId="3F1201EA" w14:textId="77777777" w:rsidR="00B9179F" w:rsidRDefault="00B9179F" w:rsidP="00B9179F">
      <w:pPr>
        <w:spacing w:after="0" w:line="240" w:lineRule="auto"/>
        <w:jc w:val="both"/>
        <w:rPr>
          <w:rFonts w:ascii="Times New Roman" w:hAnsi="Times New Roman" w:cs="Times New Roman"/>
          <w:sz w:val="24"/>
          <w:szCs w:val="24"/>
          <w:lang w:val="lv-LV"/>
        </w:rPr>
      </w:pPr>
    </w:p>
    <w:p w14:paraId="30E04201" w14:textId="77777777" w:rsidR="00B9179F" w:rsidRDefault="00B9179F" w:rsidP="00B9179F">
      <w:pPr>
        <w:spacing w:after="0" w:line="240" w:lineRule="auto"/>
        <w:jc w:val="both"/>
        <w:rPr>
          <w:rFonts w:ascii="Times New Roman" w:hAnsi="Times New Roman" w:cs="Times New Roman"/>
          <w:sz w:val="24"/>
          <w:szCs w:val="24"/>
          <w:lang w:val="lv-LV"/>
        </w:rPr>
      </w:pPr>
    </w:p>
    <w:p w14:paraId="3CDA07AB" w14:textId="77777777" w:rsidR="00B9179F" w:rsidRDefault="00B9179F" w:rsidP="00B9179F">
      <w:pPr>
        <w:spacing w:after="0" w:line="240" w:lineRule="auto"/>
        <w:jc w:val="both"/>
        <w:rPr>
          <w:rFonts w:ascii="Times New Roman" w:hAnsi="Times New Roman" w:cs="Times New Roman"/>
          <w:sz w:val="24"/>
          <w:szCs w:val="24"/>
          <w:lang w:val="lv-LV"/>
        </w:rPr>
      </w:pPr>
    </w:p>
    <w:p w14:paraId="77832366" w14:textId="6883011B" w:rsidR="00B9179F" w:rsidRPr="00B9179F" w:rsidRDefault="00B9179F" w:rsidP="00B9179F">
      <w:pPr>
        <w:spacing w:after="0" w:line="240" w:lineRule="auto"/>
        <w:ind w:left="5040" w:firstLine="72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Autors: Antons Babuškins</w:t>
      </w:r>
    </w:p>
    <w:p w14:paraId="7CF1F9CF" w14:textId="38993495" w:rsidR="00B9179F" w:rsidRPr="00B9179F" w:rsidRDefault="00B9179F" w:rsidP="00B9179F">
      <w:pPr>
        <w:spacing w:after="0" w:line="240" w:lineRule="auto"/>
        <w:ind w:left="57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ISIC nr.: 0410009</w:t>
      </w:r>
    </w:p>
    <w:p w14:paraId="78272536" w14:textId="161AD09B" w:rsidR="00B9179F" w:rsidRPr="00B9179F" w:rsidRDefault="00B9179F" w:rsidP="00B9179F">
      <w:pPr>
        <w:spacing w:after="0" w:line="240" w:lineRule="auto"/>
        <w:ind w:left="5760"/>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Studenta apliecības nr.: 1081036</w:t>
      </w:r>
    </w:p>
    <w:p w14:paraId="24FC5E1C" w14:textId="48A88247" w:rsidR="00B9179F" w:rsidRPr="00B9179F" w:rsidRDefault="00B9179F" w:rsidP="00B9179F">
      <w:pPr>
        <w:spacing w:after="0" w:line="240" w:lineRule="auto"/>
        <w:ind w:left="57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Paraksts:</w:t>
      </w:r>
    </w:p>
    <w:p w14:paraId="0C8D7157" w14:textId="77777777" w:rsidR="002F2C01" w:rsidRDefault="002F2C01" w:rsidP="002F2C01">
      <w:pPr>
        <w:spacing w:after="0" w:line="240" w:lineRule="auto"/>
        <w:ind w:left="6237"/>
        <w:rPr>
          <w:rFonts w:ascii="Times New Roman" w:hAnsi="Times New Roman" w:cs="Times New Roman"/>
          <w:sz w:val="24"/>
          <w:szCs w:val="24"/>
          <w:lang w:val="lv-LV"/>
        </w:rPr>
      </w:pPr>
    </w:p>
    <w:p w14:paraId="0D8342E9" w14:textId="77777777" w:rsidR="002F2C01" w:rsidRDefault="002F2C01" w:rsidP="002F2C01">
      <w:pPr>
        <w:spacing w:after="0" w:line="240" w:lineRule="auto"/>
        <w:ind w:left="6237"/>
        <w:rPr>
          <w:rFonts w:ascii="Times New Roman" w:hAnsi="Times New Roman" w:cs="Times New Roman"/>
          <w:sz w:val="24"/>
          <w:szCs w:val="24"/>
          <w:lang w:val="lv-LV"/>
        </w:rPr>
      </w:pPr>
    </w:p>
    <w:p w14:paraId="30061B8E" w14:textId="35BF7237" w:rsidR="00B9179F" w:rsidRPr="00B9179F" w:rsidRDefault="00B9179F" w:rsidP="002F2C01">
      <w:pPr>
        <w:spacing w:after="0" w:line="240" w:lineRule="auto"/>
        <w:ind w:left="6237"/>
        <w:rPr>
          <w:rFonts w:ascii="Times New Roman" w:hAnsi="Times New Roman" w:cs="Times New Roman"/>
          <w:sz w:val="24"/>
          <w:szCs w:val="24"/>
          <w:lang w:val="lv-LV"/>
        </w:rPr>
      </w:pPr>
      <w:r w:rsidRPr="00B9179F">
        <w:rPr>
          <w:rFonts w:ascii="Times New Roman" w:hAnsi="Times New Roman" w:cs="Times New Roman"/>
          <w:sz w:val="24"/>
          <w:szCs w:val="24"/>
          <w:lang w:val="lv-LV"/>
        </w:rPr>
        <w:t>Darba vadītājs: Dace Melka.</w:t>
      </w:r>
      <w:r w:rsidR="002F2C01">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 xml:space="preserve"> </w:t>
      </w:r>
      <w:r w:rsidR="002F2C01">
        <w:rPr>
          <w:rFonts w:ascii="Times New Roman" w:hAnsi="Times New Roman" w:cs="Times New Roman"/>
          <w:sz w:val="24"/>
          <w:szCs w:val="24"/>
          <w:lang w:val="lv-LV"/>
        </w:rPr>
        <w:t xml:space="preserve">    </w:t>
      </w:r>
      <w:r w:rsidRPr="00B9179F">
        <w:rPr>
          <w:rFonts w:ascii="Times New Roman" w:hAnsi="Times New Roman" w:cs="Times New Roman"/>
          <w:sz w:val="24"/>
          <w:szCs w:val="24"/>
          <w:lang w:val="lv-LV"/>
        </w:rPr>
        <w:t>Ginekoloģijas nodaļas vadītāja A/S „Latvijas Jūras Medicīnas Centrs”</w:t>
      </w:r>
    </w:p>
    <w:p w14:paraId="75C30B3B" w14:textId="24DDE818" w:rsidR="002F2C01" w:rsidRDefault="00B9179F" w:rsidP="002F2C01">
      <w:pPr>
        <w:spacing w:after="0" w:line="240" w:lineRule="auto"/>
        <w:ind w:left="6237"/>
        <w:rPr>
          <w:rFonts w:ascii="Times New Roman" w:hAnsi="Times New Roman" w:cs="Times New Roman"/>
          <w:sz w:val="24"/>
          <w:szCs w:val="24"/>
          <w:lang w:val="lv-LV"/>
        </w:rPr>
      </w:pPr>
      <w:r w:rsidRPr="00B9179F">
        <w:rPr>
          <w:rFonts w:ascii="Times New Roman" w:hAnsi="Times New Roman" w:cs="Times New Roman"/>
          <w:sz w:val="24"/>
          <w:szCs w:val="24"/>
          <w:lang w:val="lv-LV"/>
        </w:rPr>
        <w:t>Paraksts:</w:t>
      </w:r>
    </w:p>
    <w:p w14:paraId="78C13FD2" w14:textId="77777777" w:rsidR="002F2C01" w:rsidRDefault="002F2C01" w:rsidP="002F2C01">
      <w:pPr>
        <w:spacing w:line="360" w:lineRule="auto"/>
        <w:jc w:val="center"/>
        <w:rPr>
          <w:rFonts w:ascii="Times New Roman" w:hAnsi="Times New Roman" w:cs="Times New Roman"/>
          <w:sz w:val="24"/>
          <w:szCs w:val="24"/>
          <w:lang w:val="lv-LV"/>
        </w:rPr>
      </w:pPr>
    </w:p>
    <w:p w14:paraId="28BA48B0" w14:textId="77777777" w:rsidR="002F2C01" w:rsidRDefault="002F2C01" w:rsidP="002F2C01">
      <w:pPr>
        <w:spacing w:line="360" w:lineRule="auto"/>
        <w:jc w:val="center"/>
        <w:rPr>
          <w:rFonts w:ascii="Times New Roman" w:hAnsi="Times New Roman" w:cs="Times New Roman"/>
          <w:sz w:val="24"/>
          <w:szCs w:val="24"/>
          <w:lang w:val="lv-LV"/>
        </w:rPr>
      </w:pPr>
    </w:p>
    <w:p w14:paraId="376DD781" w14:textId="72EE287A" w:rsidR="002F2C01" w:rsidRPr="00DA0EA9" w:rsidRDefault="00B9179F" w:rsidP="00DA0EA9">
      <w:pPr>
        <w:spacing w:line="360" w:lineRule="auto"/>
        <w:jc w:val="center"/>
        <w:rPr>
          <w:rFonts w:ascii="Times New Roman" w:hAnsi="Times New Roman" w:cs="Times New Roman"/>
          <w:sz w:val="24"/>
          <w:szCs w:val="24"/>
          <w:lang w:val="lv-LV"/>
        </w:rPr>
      </w:pPr>
      <w:r w:rsidRPr="00B9179F">
        <w:rPr>
          <w:rFonts w:ascii="Times New Roman" w:hAnsi="Times New Roman" w:cs="Times New Roman"/>
          <w:sz w:val="24"/>
          <w:szCs w:val="24"/>
          <w:lang w:val="lv-LV"/>
        </w:rPr>
        <w:t>2015</w:t>
      </w:r>
    </w:p>
    <w:p w14:paraId="7FEA163A" w14:textId="07F7B26C" w:rsidR="002F2C01" w:rsidRDefault="00DA0EA9" w:rsidP="00DA0EA9">
      <w:pPr>
        <w:pStyle w:val="Heading1"/>
        <w:spacing w:line="360" w:lineRule="auto"/>
        <w:rPr>
          <w:rFonts w:ascii="Times New Roman" w:hAnsi="Times New Roman" w:cs="Times New Roman"/>
          <w:color w:val="auto"/>
          <w:sz w:val="24"/>
          <w:szCs w:val="24"/>
          <w:lang w:val="lv-LV"/>
        </w:rPr>
      </w:pPr>
      <w:r>
        <w:rPr>
          <w:rFonts w:ascii="Times New Roman" w:hAnsi="Times New Roman" w:cs="Times New Roman"/>
          <w:color w:val="auto"/>
          <w:sz w:val="24"/>
          <w:szCs w:val="24"/>
          <w:lang w:val="lv-LV"/>
        </w:rPr>
        <w:lastRenderedPageBreak/>
        <w:t>Satura rādītājs</w:t>
      </w:r>
    </w:p>
    <w:p w14:paraId="06ABCD82" w14:textId="77777777" w:rsidR="00DA0EA9" w:rsidRDefault="00DA0EA9" w:rsidP="00DA0EA9">
      <w:pPr>
        <w:spacing w:line="360" w:lineRule="auto"/>
        <w:rPr>
          <w:lang w:val="lv-LV"/>
        </w:rPr>
      </w:pPr>
    </w:p>
    <w:p w14:paraId="3E41C644" w14:textId="700BDA34" w:rsidR="00DA0EA9" w:rsidRDefault="00DA0EA9"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Ievads..........................................................................................................................</w:t>
      </w:r>
      <w:r w:rsidR="00F426A4">
        <w:rPr>
          <w:rFonts w:ascii="Times New Roman" w:hAnsi="Times New Roman" w:cs="Times New Roman"/>
          <w:sz w:val="24"/>
          <w:szCs w:val="24"/>
          <w:lang w:val="lv-LV"/>
        </w:rPr>
        <w:t>....</w:t>
      </w:r>
      <w:r>
        <w:rPr>
          <w:rFonts w:ascii="Times New Roman" w:hAnsi="Times New Roman" w:cs="Times New Roman"/>
          <w:sz w:val="24"/>
          <w:szCs w:val="24"/>
          <w:lang w:val="lv-LV"/>
        </w:rPr>
        <w:t>3</w:t>
      </w:r>
    </w:p>
    <w:p w14:paraId="35242F6C" w14:textId="4375A8F0" w:rsidR="00DA0EA9" w:rsidRDefault="00DA0EA9"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Darba hipotēze, mērķis un uzdevumi..............................................................................4</w:t>
      </w:r>
    </w:p>
    <w:p w14:paraId="13DEE252" w14:textId="20D0C9E2" w:rsidR="00DA0EA9" w:rsidRDefault="00DA0EA9"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Literatūras apskats...........................................................................................................5</w:t>
      </w:r>
    </w:p>
    <w:p w14:paraId="04DDA02C" w14:textId="2A9D68B4" w:rsidR="00DA0EA9" w:rsidRDefault="00DA0EA9"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Darba metodika.............................................................................................................13</w:t>
      </w:r>
    </w:p>
    <w:p w14:paraId="1EC61FDA" w14:textId="31C0B920" w:rsidR="00F426A4"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Rezultāti........................................................................................................................14</w:t>
      </w:r>
    </w:p>
    <w:p w14:paraId="498ACCAD" w14:textId="2718EE0E" w:rsidR="00F426A4"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Diskusija........................................................................................................................27</w:t>
      </w:r>
    </w:p>
    <w:p w14:paraId="2650D36D" w14:textId="02714BA2" w:rsidR="00F426A4"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Apkopojums..................................................................................................................33</w:t>
      </w:r>
    </w:p>
    <w:p w14:paraId="775E9ED3" w14:textId="11BEF06F" w:rsidR="00F426A4"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Secinājumi.....................................................................................................................34</w:t>
      </w:r>
    </w:p>
    <w:p w14:paraId="7C64C1A9" w14:textId="651A893F" w:rsidR="00F426A4"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Literatūras saraksts........................................................................................................35</w:t>
      </w:r>
    </w:p>
    <w:p w14:paraId="7EF2399D" w14:textId="69D78988" w:rsidR="00F426A4" w:rsidRPr="00DA0EA9" w:rsidRDefault="00F426A4" w:rsidP="00DA0EA9">
      <w:pPr>
        <w:spacing w:line="360" w:lineRule="auto"/>
        <w:rPr>
          <w:rFonts w:ascii="Times New Roman" w:hAnsi="Times New Roman" w:cs="Times New Roman"/>
          <w:sz w:val="24"/>
          <w:szCs w:val="24"/>
          <w:lang w:val="lv-LV"/>
        </w:rPr>
      </w:pPr>
      <w:r>
        <w:rPr>
          <w:rFonts w:ascii="Times New Roman" w:hAnsi="Times New Roman" w:cs="Times New Roman"/>
          <w:sz w:val="24"/>
          <w:szCs w:val="24"/>
          <w:lang w:val="lv-LV"/>
        </w:rPr>
        <w:t>Oriģinalitātes galvojums................................................................................................37</w:t>
      </w:r>
    </w:p>
    <w:p w14:paraId="7EBCC400" w14:textId="77777777" w:rsidR="00DA0EA9" w:rsidRDefault="00DA0EA9" w:rsidP="00DA0EA9">
      <w:pPr>
        <w:spacing w:line="360" w:lineRule="auto"/>
        <w:rPr>
          <w:rFonts w:ascii="Times New Roman" w:hAnsi="Times New Roman" w:cs="Times New Roman"/>
          <w:b/>
          <w:sz w:val="24"/>
          <w:szCs w:val="24"/>
          <w:lang w:val="lv-LV"/>
        </w:rPr>
      </w:pPr>
      <w:r>
        <w:rPr>
          <w:rFonts w:ascii="Times New Roman" w:hAnsi="Times New Roman" w:cs="Times New Roman"/>
          <w:b/>
          <w:sz w:val="24"/>
          <w:szCs w:val="24"/>
          <w:lang w:val="lv-LV"/>
        </w:rPr>
        <w:br w:type="page"/>
      </w:r>
    </w:p>
    <w:p w14:paraId="3250EE6B" w14:textId="3593B613" w:rsidR="00815C79" w:rsidRPr="00321CBD" w:rsidRDefault="00DA57AB" w:rsidP="002F2C01">
      <w:pPr>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Ievads</w:t>
      </w:r>
    </w:p>
    <w:p w14:paraId="65D74CB8" w14:textId="488BBFB2" w:rsidR="00DA57AB" w:rsidRPr="00321CBD" w:rsidRDefault="004436AB"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Patoloģ</w:t>
      </w:r>
      <w:r w:rsidR="00881A63" w:rsidRPr="00321CBD">
        <w:rPr>
          <w:rFonts w:ascii="Times New Roman" w:hAnsi="Times New Roman" w:cs="Times New Roman"/>
          <w:sz w:val="24"/>
          <w:szCs w:val="24"/>
          <w:lang w:val="lv-LV"/>
        </w:rPr>
        <w:t>i</w:t>
      </w:r>
      <w:r w:rsidRPr="00321CBD">
        <w:rPr>
          <w:rFonts w:ascii="Times New Roman" w:hAnsi="Times New Roman" w:cs="Times New Roman"/>
          <w:sz w:val="24"/>
          <w:szCs w:val="24"/>
          <w:lang w:val="lv-LV"/>
        </w:rPr>
        <w:t>sk</w:t>
      </w:r>
      <w:r w:rsidR="005826CC">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dzemdes asiņošana ir viena no </w:t>
      </w:r>
      <w:r w:rsidR="00881A63" w:rsidRPr="00321CBD">
        <w:rPr>
          <w:rFonts w:ascii="Times New Roman" w:hAnsi="Times New Roman" w:cs="Times New Roman"/>
          <w:sz w:val="24"/>
          <w:szCs w:val="24"/>
          <w:lang w:val="lv-LV"/>
        </w:rPr>
        <w:t>biežākajām</w:t>
      </w:r>
      <w:r w:rsidRPr="00321CBD">
        <w:rPr>
          <w:rFonts w:ascii="Times New Roman" w:hAnsi="Times New Roman" w:cs="Times New Roman"/>
          <w:sz w:val="24"/>
          <w:szCs w:val="24"/>
          <w:lang w:val="lv-LV"/>
        </w:rPr>
        <w:t xml:space="preserve"> sūdzībām ar ko sieviete vēršas pie ginekologa. No k</w:t>
      </w:r>
      <w:r w:rsidR="000A32A1" w:rsidRPr="00321CBD">
        <w:rPr>
          <w:rFonts w:ascii="Times New Roman" w:hAnsi="Times New Roman" w:cs="Times New Roman"/>
          <w:sz w:val="24"/>
          <w:szCs w:val="24"/>
          <w:lang w:val="lv-LV"/>
        </w:rPr>
        <w:t>opējā pacientu skait</w:t>
      </w:r>
      <w:r w:rsidR="00881A63" w:rsidRPr="00321CBD">
        <w:rPr>
          <w:rFonts w:ascii="Times New Roman" w:hAnsi="Times New Roman" w:cs="Times New Roman"/>
          <w:sz w:val="24"/>
          <w:szCs w:val="24"/>
          <w:lang w:val="lv-LV"/>
        </w:rPr>
        <w:t>a</w:t>
      </w:r>
      <w:r w:rsidR="000A32A1" w:rsidRPr="00321CBD">
        <w:rPr>
          <w:rFonts w:ascii="Times New Roman" w:hAnsi="Times New Roman" w:cs="Times New Roman"/>
          <w:sz w:val="24"/>
          <w:szCs w:val="24"/>
          <w:lang w:val="lv-LV"/>
        </w:rPr>
        <w:t xml:space="preserve"> tādu sieviešu ir apmēram viena trešdaļa</w:t>
      </w:r>
      <w:r w:rsidR="00193B66">
        <w:rPr>
          <w:rFonts w:ascii="Times New Roman" w:hAnsi="Times New Roman" w:cs="Times New Roman"/>
          <w:sz w:val="24"/>
          <w:szCs w:val="24"/>
          <w:lang w:val="lv-LV"/>
        </w:rPr>
        <w:t>.</w:t>
      </w:r>
      <w:r w:rsidR="00193B66" w:rsidRPr="00193B66">
        <w:rPr>
          <w:rFonts w:ascii="Times New Roman" w:hAnsi="Times New Roman" w:cs="Times New Roman"/>
          <w:sz w:val="24"/>
          <w:szCs w:val="24"/>
          <w:vertAlign w:val="superscript"/>
          <w:lang w:val="lv-LV"/>
        </w:rPr>
        <w:t>1</w:t>
      </w:r>
      <w:r w:rsidR="000A32A1" w:rsidRPr="00321CBD">
        <w:rPr>
          <w:rFonts w:ascii="Times New Roman" w:hAnsi="Times New Roman" w:cs="Times New Roman"/>
          <w:sz w:val="24"/>
          <w:szCs w:val="24"/>
          <w:lang w:val="lv-LV"/>
        </w:rPr>
        <w:t xml:space="preserve"> Visvairāk šī problēma satrauc sievietes </w:t>
      </w:r>
      <w:r w:rsidR="00881A63" w:rsidRPr="00321CBD">
        <w:rPr>
          <w:rFonts w:ascii="Times New Roman" w:hAnsi="Times New Roman" w:cs="Times New Roman"/>
          <w:sz w:val="24"/>
          <w:szCs w:val="24"/>
          <w:lang w:val="lv-LV"/>
        </w:rPr>
        <w:t>pusaudžu</w:t>
      </w:r>
      <w:r w:rsidR="000A32A1" w:rsidRPr="00321CBD">
        <w:rPr>
          <w:rFonts w:ascii="Times New Roman" w:hAnsi="Times New Roman" w:cs="Times New Roman"/>
          <w:sz w:val="24"/>
          <w:szCs w:val="24"/>
          <w:lang w:val="lv-LV"/>
        </w:rPr>
        <w:t xml:space="preserve"> un premenopauzes vecum</w:t>
      </w:r>
      <w:r w:rsidR="00881A63" w:rsidRPr="00321CBD">
        <w:rPr>
          <w:rFonts w:ascii="Times New Roman" w:hAnsi="Times New Roman" w:cs="Times New Roman"/>
          <w:sz w:val="24"/>
          <w:szCs w:val="24"/>
          <w:lang w:val="lv-LV"/>
        </w:rPr>
        <w:t>ā</w:t>
      </w:r>
      <w:r w:rsidR="000A32A1" w:rsidRPr="00321CBD">
        <w:rPr>
          <w:rFonts w:ascii="Times New Roman" w:hAnsi="Times New Roman" w:cs="Times New Roman"/>
          <w:sz w:val="24"/>
          <w:szCs w:val="24"/>
          <w:lang w:val="lv-LV"/>
        </w:rPr>
        <w:t xml:space="preserve"> dažāda veida hormonāl</w:t>
      </w:r>
      <w:r w:rsidR="005826CC">
        <w:rPr>
          <w:rFonts w:ascii="Times New Roman" w:hAnsi="Times New Roman" w:cs="Times New Roman"/>
          <w:sz w:val="24"/>
          <w:szCs w:val="24"/>
          <w:lang w:val="lv-LV"/>
        </w:rPr>
        <w:t>o</w:t>
      </w:r>
      <w:r w:rsidR="000A32A1" w:rsidRPr="00321CBD">
        <w:rPr>
          <w:rFonts w:ascii="Times New Roman" w:hAnsi="Times New Roman" w:cs="Times New Roman"/>
          <w:sz w:val="24"/>
          <w:szCs w:val="24"/>
          <w:lang w:val="lv-LV"/>
        </w:rPr>
        <w:t xml:space="preserve"> pārmaiņ</w:t>
      </w:r>
      <w:r w:rsidR="005826CC">
        <w:rPr>
          <w:rFonts w:ascii="Times New Roman" w:hAnsi="Times New Roman" w:cs="Times New Roman"/>
          <w:sz w:val="24"/>
          <w:szCs w:val="24"/>
          <w:lang w:val="lv-LV"/>
        </w:rPr>
        <w:t>u</w:t>
      </w:r>
      <w:r w:rsidR="005826CC" w:rsidRPr="005826CC">
        <w:rPr>
          <w:rFonts w:ascii="Times New Roman" w:hAnsi="Times New Roman" w:cs="Times New Roman"/>
          <w:sz w:val="24"/>
          <w:szCs w:val="24"/>
          <w:lang w:val="lv-LV"/>
        </w:rPr>
        <w:t xml:space="preserve"> </w:t>
      </w:r>
      <w:r w:rsidR="005826CC" w:rsidRPr="00321CBD">
        <w:rPr>
          <w:rFonts w:ascii="Times New Roman" w:hAnsi="Times New Roman" w:cs="Times New Roman"/>
          <w:sz w:val="24"/>
          <w:szCs w:val="24"/>
          <w:lang w:val="lv-LV"/>
        </w:rPr>
        <w:t>dēļ</w:t>
      </w:r>
      <w:r w:rsidR="000A32A1" w:rsidRPr="00321CBD">
        <w:rPr>
          <w:rFonts w:ascii="Times New Roman" w:hAnsi="Times New Roman" w:cs="Times New Roman"/>
          <w:sz w:val="24"/>
          <w:szCs w:val="24"/>
          <w:lang w:val="lv-LV"/>
        </w:rPr>
        <w:t xml:space="preserve">. </w:t>
      </w:r>
      <w:r w:rsidR="00B43E14" w:rsidRPr="00321CBD">
        <w:rPr>
          <w:rFonts w:ascii="Times New Roman" w:hAnsi="Times New Roman" w:cs="Times New Roman"/>
          <w:sz w:val="24"/>
          <w:szCs w:val="24"/>
          <w:lang w:val="lv-LV"/>
        </w:rPr>
        <w:t>Premenopauzes un postmenopauzes</w:t>
      </w:r>
      <w:r w:rsidR="005826CC">
        <w:rPr>
          <w:rFonts w:ascii="Times New Roman" w:hAnsi="Times New Roman" w:cs="Times New Roman"/>
          <w:sz w:val="24"/>
          <w:szCs w:val="24"/>
          <w:lang w:val="lv-LV"/>
        </w:rPr>
        <w:t xml:space="preserve"> periodā</w:t>
      </w:r>
      <w:r w:rsidR="00B43E14" w:rsidRPr="00321CBD">
        <w:rPr>
          <w:rFonts w:ascii="Times New Roman" w:hAnsi="Times New Roman" w:cs="Times New Roman"/>
          <w:sz w:val="24"/>
          <w:szCs w:val="24"/>
          <w:lang w:val="lv-LV"/>
        </w:rPr>
        <w:t xml:space="preserve"> </w:t>
      </w:r>
      <w:r w:rsidR="005826CC">
        <w:rPr>
          <w:rFonts w:ascii="Times New Roman" w:hAnsi="Times New Roman" w:cs="Times New Roman"/>
          <w:sz w:val="24"/>
          <w:szCs w:val="24"/>
          <w:lang w:val="lv-LV"/>
        </w:rPr>
        <w:t xml:space="preserve">sieviešu </w:t>
      </w:r>
      <w:r w:rsidR="00B43E14" w:rsidRPr="00321CBD">
        <w:rPr>
          <w:rFonts w:ascii="Times New Roman" w:hAnsi="Times New Roman" w:cs="Times New Roman"/>
          <w:sz w:val="24"/>
          <w:szCs w:val="24"/>
          <w:lang w:val="lv-LV"/>
        </w:rPr>
        <w:t>sūdzību klāstā asiņošana var būt par iemeslu ginekologa</w:t>
      </w:r>
      <w:r w:rsidR="00090782">
        <w:rPr>
          <w:rFonts w:ascii="Times New Roman" w:hAnsi="Times New Roman" w:cs="Times New Roman"/>
          <w:sz w:val="24"/>
          <w:szCs w:val="24"/>
          <w:lang w:val="lv-LV"/>
        </w:rPr>
        <w:t xml:space="preserve"> apmeklējumiem</w:t>
      </w:r>
      <w:r w:rsidR="00B43E14" w:rsidRPr="00321CBD">
        <w:rPr>
          <w:rFonts w:ascii="Times New Roman" w:hAnsi="Times New Roman" w:cs="Times New Roman"/>
          <w:sz w:val="24"/>
          <w:szCs w:val="24"/>
          <w:lang w:val="lv-LV"/>
        </w:rPr>
        <w:t xml:space="preserve"> </w:t>
      </w:r>
      <w:r w:rsidR="005826CC">
        <w:rPr>
          <w:rFonts w:ascii="Times New Roman" w:hAnsi="Times New Roman" w:cs="Times New Roman"/>
          <w:sz w:val="24"/>
          <w:szCs w:val="24"/>
          <w:lang w:val="lv-LV"/>
        </w:rPr>
        <w:t>līdz pat</w:t>
      </w:r>
      <w:r w:rsidR="00B43E14" w:rsidRPr="00321CBD">
        <w:rPr>
          <w:rFonts w:ascii="Times New Roman" w:hAnsi="Times New Roman" w:cs="Times New Roman"/>
          <w:sz w:val="24"/>
          <w:szCs w:val="24"/>
          <w:lang w:val="lv-LV"/>
        </w:rPr>
        <w:t xml:space="preserve"> </w:t>
      </w:r>
      <w:r w:rsidR="005826CC">
        <w:rPr>
          <w:rFonts w:ascii="Times New Roman" w:hAnsi="Times New Roman" w:cs="Times New Roman"/>
          <w:sz w:val="24"/>
          <w:szCs w:val="24"/>
          <w:lang w:val="lv-LV"/>
        </w:rPr>
        <w:t>divām trešdaļām</w:t>
      </w:r>
      <w:r w:rsidR="00193B66">
        <w:rPr>
          <w:rFonts w:ascii="Times New Roman" w:hAnsi="Times New Roman" w:cs="Times New Roman"/>
          <w:sz w:val="24"/>
          <w:szCs w:val="24"/>
          <w:lang w:val="lv-LV"/>
        </w:rPr>
        <w:t xml:space="preserve"> no visiem gadījumiem.</w:t>
      </w:r>
      <w:r w:rsidR="00193B66" w:rsidRPr="00193B66">
        <w:rPr>
          <w:rFonts w:ascii="Times New Roman" w:hAnsi="Times New Roman" w:cs="Times New Roman"/>
          <w:sz w:val="24"/>
          <w:szCs w:val="24"/>
          <w:vertAlign w:val="superscript"/>
          <w:lang w:val="lv-LV"/>
        </w:rPr>
        <w:t>2</w:t>
      </w:r>
    </w:p>
    <w:p w14:paraId="0FA7247C" w14:textId="6F0A803D" w:rsidR="00816CC6" w:rsidRPr="00321CBD" w:rsidRDefault="00881A63"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Patoloģiskā </w:t>
      </w:r>
      <w:r w:rsidR="000A32A1" w:rsidRPr="00321CBD">
        <w:rPr>
          <w:rFonts w:ascii="Times New Roman" w:hAnsi="Times New Roman" w:cs="Times New Roman"/>
          <w:sz w:val="24"/>
          <w:szCs w:val="24"/>
          <w:lang w:val="lv-LV"/>
        </w:rPr>
        <w:t xml:space="preserve">dzemdes asiņošana </w:t>
      </w:r>
      <w:r w:rsidRPr="00321CBD">
        <w:rPr>
          <w:rFonts w:ascii="Times New Roman" w:hAnsi="Times New Roman" w:cs="Times New Roman"/>
          <w:sz w:val="24"/>
          <w:szCs w:val="24"/>
          <w:lang w:val="lv-LV"/>
        </w:rPr>
        <w:t>ir nespecifisks simptoms</w:t>
      </w:r>
      <w:r w:rsidR="000A32A1" w:rsidRPr="00321CBD">
        <w:rPr>
          <w:rFonts w:ascii="Times New Roman" w:hAnsi="Times New Roman" w:cs="Times New Roman"/>
          <w:sz w:val="24"/>
          <w:szCs w:val="24"/>
          <w:lang w:val="lv-LV"/>
        </w:rPr>
        <w:t xml:space="preserve"> un </w:t>
      </w:r>
      <w:r w:rsidRPr="00321CBD">
        <w:rPr>
          <w:rFonts w:ascii="Times New Roman" w:hAnsi="Times New Roman" w:cs="Times New Roman"/>
          <w:sz w:val="24"/>
          <w:szCs w:val="24"/>
          <w:lang w:val="lv-LV"/>
        </w:rPr>
        <w:t xml:space="preserve">tās </w:t>
      </w:r>
      <w:r w:rsidR="00B43E14" w:rsidRPr="00321CBD">
        <w:rPr>
          <w:rFonts w:ascii="Times New Roman" w:hAnsi="Times New Roman" w:cs="Times New Roman"/>
          <w:sz w:val="24"/>
          <w:szCs w:val="24"/>
          <w:lang w:val="lv-LV"/>
        </w:rPr>
        <w:t xml:space="preserve">pamatā var būt daudz problēmu. Tiek uzskatīts, ka visbiežākie iemesli ir </w:t>
      </w:r>
      <w:r w:rsidR="00551547" w:rsidRPr="00321CBD">
        <w:rPr>
          <w:rFonts w:ascii="Times New Roman" w:hAnsi="Times New Roman" w:cs="Times New Roman"/>
          <w:sz w:val="24"/>
          <w:szCs w:val="24"/>
          <w:lang w:val="lv-LV"/>
        </w:rPr>
        <w:t>strukturālas</w:t>
      </w:r>
      <w:r w:rsidR="00B43E14" w:rsidRPr="00321CBD">
        <w:rPr>
          <w:rFonts w:ascii="Times New Roman" w:hAnsi="Times New Roman" w:cs="Times New Roman"/>
          <w:sz w:val="24"/>
          <w:szCs w:val="24"/>
          <w:lang w:val="lv-LV"/>
        </w:rPr>
        <w:t xml:space="preserve"> dzemdes dobuma patoloģijas</w:t>
      </w:r>
      <w:r w:rsidR="005826CC">
        <w:rPr>
          <w:rFonts w:ascii="Times New Roman" w:hAnsi="Times New Roman" w:cs="Times New Roman"/>
          <w:sz w:val="24"/>
          <w:szCs w:val="24"/>
          <w:lang w:val="lv-LV"/>
        </w:rPr>
        <w:t>, t</w:t>
      </w:r>
      <w:r w:rsidRPr="00321CBD">
        <w:rPr>
          <w:rFonts w:ascii="Times New Roman" w:hAnsi="Times New Roman" w:cs="Times New Roman"/>
          <w:sz w:val="24"/>
          <w:szCs w:val="24"/>
          <w:lang w:val="lv-LV"/>
        </w:rPr>
        <w:t>ādas</w:t>
      </w:r>
      <w:r w:rsidR="00B43E14" w:rsidRPr="00321CBD">
        <w:rPr>
          <w:rFonts w:ascii="Times New Roman" w:hAnsi="Times New Roman" w:cs="Times New Roman"/>
          <w:sz w:val="24"/>
          <w:szCs w:val="24"/>
          <w:lang w:val="lv-LV"/>
        </w:rPr>
        <w:t xml:space="preserve"> kā endometrija polips, endom</w:t>
      </w:r>
      <w:r w:rsidR="00090782">
        <w:rPr>
          <w:rFonts w:ascii="Times New Roman" w:hAnsi="Times New Roman" w:cs="Times New Roman"/>
          <w:sz w:val="24"/>
          <w:szCs w:val="24"/>
          <w:lang w:val="lv-LV"/>
        </w:rPr>
        <w:t>e</w:t>
      </w:r>
      <w:r w:rsidR="00B43E14" w:rsidRPr="00321CBD">
        <w:rPr>
          <w:rFonts w:ascii="Times New Roman" w:hAnsi="Times New Roman" w:cs="Times New Roman"/>
          <w:sz w:val="24"/>
          <w:szCs w:val="24"/>
          <w:lang w:val="lv-LV"/>
        </w:rPr>
        <w:t>trija hiperplāzija</w:t>
      </w:r>
      <w:r w:rsidR="00551547" w:rsidRPr="00321CBD">
        <w:rPr>
          <w:rFonts w:ascii="Times New Roman" w:hAnsi="Times New Roman" w:cs="Times New Roman"/>
          <w:sz w:val="24"/>
          <w:szCs w:val="24"/>
          <w:lang w:val="lv-LV"/>
        </w:rPr>
        <w:t xml:space="preserve"> un malignitāte</w:t>
      </w:r>
      <w:r w:rsidR="00B43E14" w:rsidRPr="00321CBD">
        <w:rPr>
          <w:rFonts w:ascii="Times New Roman" w:hAnsi="Times New Roman" w:cs="Times New Roman"/>
          <w:sz w:val="24"/>
          <w:szCs w:val="24"/>
          <w:lang w:val="lv-LV"/>
        </w:rPr>
        <w:t>, submukoza mioma vai endometrija atrofija</w:t>
      </w:r>
      <w:r w:rsidR="005826CC">
        <w:rPr>
          <w:rFonts w:ascii="Times New Roman" w:hAnsi="Times New Roman" w:cs="Times New Roman"/>
          <w:sz w:val="24"/>
          <w:szCs w:val="24"/>
          <w:lang w:val="lv-LV"/>
        </w:rPr>
        <w:t>.</w:t>
      </w:r>
      <w:r w:rsidR="00193B66" w:rsidRPr="00193B66">
        <w:rPr>
          <w:rFonts w:ascii="Times New Roman" w:hAnsi="Times New Roman" w:cs="Times New Roman"/>
          <w:sz w:val="24"/>
          <w:szCs w:val="24"/>
          <w:vertAlign w:val="superscript"/>
          <w:lang w:val="lv-LV"/>
        </w:rPr>
        <w:t>3</w:t>
      </w:r>
      <w:r w:rsidR="0082274D" w:rsidRPr="00321CBD">
        <w:rPr>
          <w:rFonts w:ascii="Times New Roman" w:hAnsi="Times New Roman" w:cs="Times New Roman"/>
          <w:sz w:val="24"/>
          <w:szCs w:val="24"/>
          <w:lang w:val="lv-LV"/>
        </w:rPr>
        <w:t xml:space="preserve"> Šīs </w:t>
      </w:r>
      <w:r w:rsidR="00B924AB" w:rsidRPr="00321CBD">
        <w:rPr>
          <w:rFonts w:ascii="Times New Roman" w:hAnsi="Times New Roman" w:cs="Times New Roman"/>
          <w:sz w:val="24"/>
          <w:szCs w:val="24"/>
          <w:lang w:val="lv-LV"/>
        </w:rPr>
        <w:t>saslimšanas</w:t>
      </w:r>
      <w:r w:rsidR="0082274D" w:rsidRPr="00321CBD">
        <w:rPr>
          <w:rFonts w:ascii="Times New Roman" w:hAnsi="Times New Roman" w:cs="Times New Roman"/>
          <w:sz w:val="24"/>
          <w:szCs w:val="24"/>
          <w:lang w:val="lv-LV"/>
        </w:rPr>
        <w:t xml:space="preserve"> var </w:t>
      </w:r>
      <w:r w:rsidR="00090782">
        <w:rPr>
          <w:rFonts w:ascii="Times New Roman" w:hAnsi="Times New Roman" w:cs="Times New Roman"/>
          <w:sz w:val="24"/>
          <w:szCs w:val="24"/>
          <w:lang w:val="lv-LV"/>
        </w:rPr>
        <w:t>viegli diagnosticēt</w:t>
      </w:r>
      <w:r w:rsidR="0082274D" w:rsidRPr="00321CBD">
        <w:rPr>
          <w:rFonts w:ascii="Times New Roman" w:hAnsi="Times New Roman" w:cs="Times New Roman"/>
          <w:sz w:val="24"/>
          <w:szCs w:val="24"/>
          <w:lang w:val="lv-LV"/>
        </w:rPr>
        <w:t xml:space="preserve"> ar transvaginālās ultrasonogrāfijas palīdzību</w:t>
      </w:r>
      <w:r w:rsidR="003829AD">
        <w:rPr>
          <w:rFonts w:ascii="Times New Roman" w:hAnsi="Times New Roman" w:cs="Times New Roman"/>
          <w:sz w:val="24"/>
          <w:szCs w:val="24"/>
          <w:lang w:val="lv-LV"/>
        </w:rPr>
        <w:t>, k</w:t>
      </w:r>
      <w:r w:rsidR="00B924AB" w:rsidRPr="00321CBD">
        <w:rPr>
          <w:rFonts w:ascii="Times New Roman" w:hAnsi="Times New Roman" w:cs="Times New Roman"/>
          <w:sz w:val="24"/>
          <w:szCs w:val="24"/>
          <w:lang w:val="lv-LV"/>
        </w:rPr>
        <w:t>aut gan</w:t>
      </w:r>
      <w:r w:rsidR="003829AD">
        <w:rPr>
          <w:rFonts w:ascii="Times New Roman" w:hAnsi="Times New Roman" w:cs="Times New Roman"/>
          <w:sz w:val="24"/>
          <w:szCs w:val="24"/>
          <w:lang w:val="lv-LV"/>
        </w:rPr>
        <w:t xml:space="preserve"> </w:t>
      </w:r>
      <w:r w:rsidR="00B924AB" w:rsidRPr="00321CBD">
        <w:rPr>
          <w:rFonts w:ascii="Times New Roman" w:hAnsi="Times New Roman" w:cs="Times New Roman"/>
          <w:sz w:val="24"/>
          <w:szCs w:val="24"/>
          <w:lang w:val="lv-LV"/>
        </w:rPr>
        <w:t xml:space="preserve">tas </w:t>
      </w:r>
      <w:r w:rsidRPr="00321CBD">
        <w:rPr>
          <w:rFonts w:ascii="Times New Roman" w:hAnsi="Times New Roman" w:cs="Times New Roman"/>
          <w:sz w:val="24"/>
          <w:szCs w:val="24"/>
          <w:lang w:val="lv-LV"/>
        </w:rPr>
        <w:t>ne vienmēr ir</w:t>
      </w:r>
      <w:r w:rsidR="00B924AB" w:rsidRPr="00321CBD">
        <w:rPr>
          <w:rFonts w:ascii="Times New Roman" w:hAnsi="Times New Roman" w:cs="Times New Roman"/>
          <w:sz w:val="24"/>
          <w:szCs w:val="24"/>
          <w:lang w:val="lv-LV"/>
        </w:rPr>
        <w:t xml:space="preserve"> iespējams, īpaši</w:t>
      </w:r>
      <w:r w:rsidR="003829AD">
        <w:rPr>
          <w:rFonts w:ascii="Times New Roman" w:hAnsi="Times New Roman" w:cs="Times New Roman"/>
          <w:sz w:val="24"/>
          <w:szCs w:val="24"/>
          <w:lang w:val="lv-LV"/>
        </w:rPr>
        <w:t xml:space="preserve"> </w:t>
      </w:r>
      <w:r w:rsidR="00B924AB" w:rsidRPr="00321CBD">
        <w:rPr>
          <w:rFonts w:ascii="Times New Roman" w:hAnsi="Times New Roman" w:cs="Times New Roman"/>
          <w:sz w:val="24"/>
          <w:szCs w:val="24"/>
          <w:lang w:val="lv-LV"/>
        </w:rPr>
        <w:t>malignitāt</w:t>
      </w:r>
      <w:r w:rsidR="003829AD">
        <w:rPr>
          <w:rFonts w:ascii="Times New Roman" w:hAnsi="Times New Roman" w:cs="Times New Roman"/>
          <w:sz w:val="24"/>
          <w:szCs w:val="24"/>
          <w:lang w:val="lv-LV"/>
        </w:rPr>
        <w:t>es</w:t>
      </w:r>
      <w:r w:rsidR="00B924AB" w:rsidRPr="00321CBD">
        <w:rPr>
          <w:rFonts w:ascii="Times New Roman" w:hAnsi="Times New Roman" w:cs="Times New Roman"/>
          <w:sz w:val="24"/>
          <w:szCs w:val="24"/>
          <w:lang w:val="lv-LV"/>
        </w:rPr>
        <w:t xml:space="preserve"> vai hiperplāzij</w:t>
      </w:r>
      <w:r w:rsidR="003829AD">
        <w:rPr>
          <w:rFonts w:ascii="Times New Roman" w:hAnsi="Times New Roman" w:cs="Times New Roman"/>
          <w:sz w:val="24"/>
          <w:szCs w:val="24"/>
          <w:lang w:val="lv-LV"/>
        </w:rPr>
        <w:t xml:space="preserve">as gadījumā. Līdz ar to </w:t>
      </w:r>
      <w:r w:rsidR="0082274D" w:rsidRPr="00321CBD">
        <w:rPr>
          <w:rFonts w:ascii="Times New Roman" w:hAnsi="Times New Roman" w:cs="Times New Roman"/>
          <w:sz w:val="24"/>
          <w:szCs w:val="24"/>
          <w:lang w:val="lv-LV"/>
        </w:rPr>
        <w:t>histeroskopija ar mērķtiecīgu endometrija biopsiju var dot papildus datus par patoloģiskas asiņošanas cēloņiem un vienlaicīgi kalpot</w:t>
      </w:r>
      <w:r w:rsidR="003829AD">
        <w:rPr>
          <w:rFonts w:ascii="Times New Roman" w:hAnsi="Times New Roman" w:cs="Times New Roman"/>
          <w:sz w:val="24"/>
          <w:szCs w:val="24"/>
          <w:lang w:val="lv-LV"/>
        </w:rPr>
        <w:t xml:space="preserve"> </w:t>
      </w:r>
      <w:r w:rsidR="0082274D" w:rsidRPr="00321CBD">
        <w:rPr>
          <w:rFonts w:ascii="Times New Roman" w:hAnsi="Times New Roman" w:cs="Times New Roman"/>
          <w:sz w:val="24"/>
          <w:szCs w:val="24"/>
          <w:lang w:val="lv-LV"/>
        </w:rPr>
        <w:t xml:space="preserve">kā ārstēšanas līdzeklis </w:t>
      </w:r>
      <w:r w:rsidR="00551547" w:rsidRPr="00321CBD">
        <w:rPr>
          <w:rFonts w:ascii="Times New Roman" w:hAnsi="Times New Roman" w:cs="Times New Roman"/>
          <w:sz w:val="24"/>
          <w:szCs w:val="24"/>
          <w:lang w:val="lv-LV"/>
        </w:rPr>
        <w:t xml:space="preserve">strukturālas </w:t>
      </w:r>
      <w:r w:rsidR="00A333AC" w:rsidRPr="00321CBD">
        <w:rPr>
          <w:rFonts w:ascii="Times New Roman" w:hAnsi="Times New Roman" w:cs="Times New Roman"/>
          <w:sz w:val="24"/>
          <w:szCs w:val="24"/>
          <w:lang w:val="lv-LV"/>
        </w:rPr>
        <w:t xml:space="preserve">patoloģijas </w:t>
      </w:r>
      <w:r w:rsidR="0082274D" w:rsidRPr="00321CBD">
        <w:rPr>
          <w:rFonts w:ascii="Times New Roman" w:hAnsi="Times New Roman" w:cs="Times New Roman"/>
          <w:sz w:val="24"/>
          <w:szCs w:val="24"/>
          <w:lang w:val="lv-LV"/>
        </w:rPr>
        <w:t xml:space="preserve">gadījumā. </w:t>
      </w:r>
    </w:p>
    <w:p w14:paraId="1A2F6345" w14:textId="10D9BDE6" w:rsidR="00656ACC" w:rsidRPr="00321CBD" w:rsidRDefault="00FC1C5D"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Lai </w:t>
      </w:r>
      <w:r w:rsidR="00EC1203" w:rsidRPr="00321CBD">
        <w:rPr>
          <w:rFonts w:ascii="Times New Roman" w:hAnsi="Times New Roman" w:cs="Times New Roman"/>
          <w:sz w:val="24"/>
          <w:szCs w:val="24"/>
          <w:lang w:val="lv-LV"/>
        </w:rPr>
        <w:t xml:space="preserve">raksturotu </w:t>
      </w:r>
      <w:r w:rsidRPr="00321CBD">
        <w:rPr>
          <w:rFonts w:ascii="Times New Roman" w:hAnsi="Times New Roman" w:cs="Times New Roman"/>
          <w:sz w:val="24"/>
          <w:szCs w:val="24"/>
          <w:lang w:val="lv-LV"/>
        </w:rPr>
        <w:t>pastiprinātu asiņošanu</w:t>
      </w:r>
      <w:r w:rsidR="00A333AC"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patreiz tiek </w:t>
      </w:r>
      <w:r w:rsidR="003829AD">
        <w:rPr>
          <w:rFonts w:ascii="Times New Roman" w:hAnsi="Times New Roman" w:cs="Times New Roman"/>
          <w:sz w:val="24"/>
          <w:szCs w:val="24"/>
          <w:lang w:val="lv-LV"/>
        </w:rPr>
        <w:t>izmantoti</w:t>
      </w:r>
      <w:r w:rsidR="003829AD"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daudz</w:t>
      </w:r>
      <w:r w:rsidR="003829AD">
        <w:rPr>
          <w:rFonts w:ascii="Times New Roman" w:hAnsi="Times New Roman" w:cs="Times New Roman"/>
          <w:sz w:val="24"/>
          <w:szCs w:val="24"/>
          <w:lang w:val="lv-LV"/>
        </w:rPr>
        <w:t>i</w:t>
      </w:r>
      <w:r w:rsidRPr="00321CBD">
        <w:rPr>
          <w:rFonts w:ascii="Times New Roman" w:hAnsi="Times New Roman" w:cs="Times New Roman"/>
          <w:sz w:val="24"/>
          <w:szCs w:val="24"/>
          <w:lang w:val="lv-LV"/>
        </w:rPr>
        <w:t xml:space="preserve"> termin</w:t>
      </w:r>
      <w:r w:rsidR="003829AD">
        <w:rPr>
          <w:rFonts w:ascii="Times New Roman" w:hAnsi="Times New Roman" w:cs="Times New Roman"/>
          <w:sz w:val="24"/>
          <w:szCs w:val="24"/>
          <w:lang w:val="lv-LV"/>
        </w:rPr>
        <w:t>i</w:t>
      </w:r>
      <w:r w:rsidRPr="00321CBD">
        <w:rPr>
          <w:rFonts w:ascii="Times New Roman" w:hAnsi="Times New Roman" w:cs="Times New Roman"/>
          <w:sz w:val="24"/>
          <w:szCs w:val="24"/>
          <w:lang w:val="lv-LV"/>
        </w:rPr>
        <w:t xml:space="preserve"> </w:t>
      </w:r>
      <w:r w:rsidR="007A250A" w:rsidRPr="00321CBD">
        <w:rPr>
          <w:rFonts w:ascii="Times New Roman" w:hAnsi="Times New Roman" w:cs="Times New Roman"/>
          <w:sz w:val="24"/>
          <w:szCs w:val="24"/>
          <w:lang w:val="lv-LV"/>
        </w:rPr>
        <w:t xml:space="preserve">un nav vienota uzskata, kā šos terminus </w:t>
      </w:r>
      <w:r w:rsidR="00A333AC" w:rsidRPr="00321CBD">
        <w:rPr>
          <w:rFonts w:ascii="Times New Roman" w:hAnsi="Times New Roman" w:cs="Times New Roman"/>
          <w:sz w:val="24"/>
          <w:szCs w:val="24"/>
          <w:lang w:val="lv-LV"/>
        </w:rPr>
        <w:t>interpretēt</w:t>
      </w:r>
      <w:r w:rsidR="007A250A" w:rsidRPr="00321CBD">
        <w:rPr>
          <w:rFonts w:ascii="Times New Roman" w:hAnsi="Times New Roman" w:cs="Times New Roman"/>
          <w:sz w:val="24"/>
          <w:szCs w:val="24"/>
          <w:lang w:val="lv-LV"/>
        </w:rPr>
        <w:t xml:space="preserve">. Vēl jo vairāk, ja </w:t>
      </w:r>
      <w:r w:rsidR="003829AD">
        <w:rPr>
          <w:rFonts w:ascii="Times New Roman" w:hAnsi="Times New Roman" w:cs="Times New Roman"/>
          <w:sz w:val="24"/>
          <w:szCs w:val="24"/>
          <w:lang w:val="lv-LV"/>
        </w:rPr>
        <w:t xml:space="preserve">nav </w:t>
      </w:r>
      <w:r w:rsidR="00A333AC" w:rsidRPr="00321CBD">
        <w:rPr>
          <w:rFonts w:ascii="Times New Roman" w:hAnsi="Times New Roman" w:cs="Times New Roman"/>
          <w:sz w:val="24"/>
          <w:szCs w:val="24"/>
          <w:lang w:val="lv-LV"/>
        </w:rPr>
        <w:t>acīmredzamu</w:t>
      </w:r>
      <w:r w:rsidR="007A250A" w:rsidRPr="00321CBD">
        <w:rPr>
          <w:rFonts w:ascii="Times New Roman" w:hAnsi="Times New Roman" w:cs="Times New Roman"/>
          <w:sz w:val="24"/>
          <w:szCs w:val="24"/>
          <w:lang w:val="lv-LV"/>
        </w:rPr>
        <w:t xml:space="preserve"> iemeslu </w:t>
      </w:r>
      <w:r w:rsidR="00A333AC" w:rsidRPr="00321CBD">
        <w:rPr>
          <w:rFonts w:ascii="Times New Roman" w:hAnsi="Times New Roman" w:cs="Times New Roman"/>
          <w:sz w:val="24"/>
          <w:szCs w:val="24"/>
          <w:lang w:val="lv-LV"/>
        </w:rPr>
        <w:t>patoloģiskajai</w:t>
      </w:r>
      <w:r w:rsidR="007A250A" w:rsidRPr="00321CBD">
        <w:rPr>
          <w:rFonts w:ascii="Times New Roman" w:hAnsi="Times New Roman" w:cs="Times New Roman"/>
          <w:sz w:val="24"/>
          <w:szCs w:val="24"/>
          <w:lang w:val="lv-LV"/>
        </w:rPr>
        <w:t xml:space="preserve"> asiņošanai, tā tiek raksturota kā disfunkcionāl</w:t>
      </w:r>
      <w:r w:rsidR="0018215F">
        <w:rPr>
          <w:rFonts w:ascii="Times New Roman" w:hAnsi="Times New Roman" w:cs="Times New Roman"/>
          <w:sz w:val="24"/>
          <w:szCs w:val="24"/>
          <w:lang w:val="lv-LV"/>
        </w:rPr>
        <w:t>a</w:t>
      </w:r>
      <w:r w:rsidR="007A250A" w:rsidRPr="00321CBD">
        <w:rPr>
          <w:rFonts w:ascii="Times New Roman" w:hAnsi="Times New Roman" w:cs="Times New Roman"/>
          <w:sz w:val="24"/>
          <w:szCs w:val="24"/>
          <w:lang w:val="lv-LV"/>
        </w:rPr>
        <w:t xml:space="preserve"> dzemdes asiņošana</w:t>
      </w:r>
      <w:r w:rsidR="00A333AC" w:rsidRPr="00321CBD">
        <w:rPr>
          <w:rFonts w:ascii="Times New Roman" w:hAnsi="Times New Roman" w:cs="Times New Roman"/>
          <w:sz w:val="24"/>
          <w:szCs w:val="24"/>
          <w:lang w:val="lv-LV"/>
        </w:rPr>
        <w:t>.</w:t>
      </w:r>
      <w:r w:rsidR="007A250A" w:rsidRPr="00321CBD">
        <w:rPr>
          <w:rFonts w:ascii="Times New Roman" w:hAnsi="Times New Roman" w:cs="Times New Roman"/>
          <w:sz w:val="24"/>
          <w:szCs w:val="24"/>
          <w:lang w:val="lv-LV"/>
        </w:rPr>
        <w:t xml:space="preserve"> </w:t>
      </w:r>
      <w:r w:rsidR="001A749F">
        <w:rPr>
          <w:rFonts w:ascii="Times New Roman" w:hAnsi="Times New Roman" w:cs="Times New Roman"/>
          <w:sz w:val="24"/>
          <w:szCs w:val="24"/>
          <w:lang w:val="lv-LV"/>
        </w:rPr>
        <w:t>Šis termins ietver</w:t>
      </w:r>
      <w:r w:rsidR="00A333AC" w:rsidRPr="00321CBD">
        <w:rPr>
          <w:rFonts w:ascii="Times New Roman" w:hAnsi="Times New Roman" w:cs="Times New Roman"/>
          <w:sz w:val="24"/>
          <w:szCs w:val="24"/>
          <w:lang w:val="lv-LV"/>
        </w:rPr>
        <w:t xml:space="preserve"> </w:t>
      </w:r>
      <w:r w:rsidR="007A250A" w:rsidRPr="00321CBD">
        <w:rPr>
          <w:rFonts w:ascii="Times New Roman" w:hAnsi="Times New Roman" w:cs="Times New Roman"/>
          <w:sz w:val="24"/>
          <w:szCs w:val="24"/>
          <w:lang w:val="lv-LV"/>
        </w:rPr>
        <w:t xml:space="preserve">visas </w:t>
      </w:r>
      <w:r w:rsidR="00A333AC" w:rsidRPr="00321CBD">
        <w:rPr>
          <w:rFonts w:ascii="Times New Roman" w:hAnsi="Times New Roman" w:cs="Times New Roman"/>
          <w:sz w:val="24"/>
          <w:szCs w:val="24"/>
          <w:lang w:val="lv-LV"/>
        </w:rPr>
        <w:t xml:space="preserve">ar hormonālām pārmaiņām saistītas </w:t>
      </w:r>
      <w:r w:rsidR="007A250A" w:rsidRPr="00321CBD">
        <w:rPr>
          <w:rFonts w:ascii="Times New Roman" w:hAnsi="Times New Roman" w:cs="Times New Roman"/>
          <w:sz w:val="24"/>
          <w:szCs w:val="24"/>
          <w:lang w:val="lv-LV"/>
        </w:rPr>
        <w:t xml:space="preserve">problēmas, kā arī </w:t>
      </w:r>
      <w:r w:rsidR="00A333AC" w:rsidRPr="00321CBD">
        <w:rPr>
          <w:rFonts w:ascii="Times New Roman" w:hAnsi="Times New Roman" w:cs="Times New Roman"/>
          <w:sz w:val="24"/>
          <w:szCs w:val="24"/>
          <w:lang w:val="lv-LV"/>
        </w:rPr>
        <w:t xml:space="preserve">ekstraģenitālās </w:t>
      </w:r>
      <w:r w:rsidR="007A250A" w:rsidRPr="00321CBD">
        <w:rPr>
          <w:rFonts w:ascii="Times New Roman" w:hAnsi="Times New Roman" w:cs="Times New Roman"/>
          <w:sz w:val="24"/>
          <w:szCs w:val="24"/>
          <w:lang w:val="lv-LV"/>
        </w:rPr>
        <w:t xml:space="preserve">patoloģijas, kuras </w:t>
      </w:r>
      <w:r w:rsidR="00A333AC" w:rsidRPr="00321CBD">
        <w:rPr>
          <w:rFonts w:ascii="Times New Roman" w:hAnsi="Times New Roman" w:cs="Times New Roman"/>
          <w:sz w:val="24"/>
          <w:szCs w:val="24"/>
          <w:lang w:val="lv-LV"/>
        </w:rPr>
        <w:t xml:space="preserve">nevar noteikt </w:t>
      </w:r>
      <w:r w:rsidR="007A250A" w:rsidRPr="00321CBD">
        <w:rPr>
          <w:rFonts w:ascii="Times New Roman" w:hAnsi="Times New Roman" w:cs="Times New Roman"/>
          <w:sz w:val="24"/>
          <w:szCs w:val="24"/>
          <w:lang w:val="lv-LV"/>
        </w:rPr>
        <w:t>vizīt</w:t>
      </w:r>
      <w:r w:rsidR="001A749F">
        <w:rPr>
          <w:rFonts w:ascii="Times New Roman" w:hAnsi="Times New Roman" w:cs="Times New Roman"/>
          <w:sz w:val="24"/>
          <w:szCs w:val="24"/>
          <w:lang w:val="lv-LV"/>
        </w:rPr>
        <w:t>ē</w:t>
      </w:r>
      <w:r w:rsidR="00A333AC" w:rsidRPr="00321CBD">
        <w:rPr>
          <w:rFonts w:ascii="Times New Roman" w:hAnsi="Times New Roman" w:cs="Times New Roman"/>
          <w:sz w:val="24"/>
          <w:szCs w:val="24"/>
          <w:lang w:val="lv-LV"/>
        </w:rPr>
        <w:t xml:space="preserve"> </w:t>
      </w:r>
      <w:r w:rsidR="007A250A" w:rsidRPr="00321CBD">
        <w:rPr>
          <w:rFonts w:ascii="Times New Roman" w:hAnsi="Times New Roman" w:cs="Times New Roman"/>
          <w:sz w:val="24"/>
          <w:szCs w:val="24"/>
          <w:lang w:val="lv-LV"/>
        </w:rPr>
        <w:t xml:space="preserve">pie ginekologa vai </w:t>
      </w:r>
      <w:r w:rsidR="00A333AC" w:rsidRPr="00321CBD">
        <w:rPr>
          <w:rFonts w:ascii="Times New Roman" w:hAnsi="Times New Roman" w:cs="Times New Roman"/>
          <w:sz w:val="24"/>
          <w:szCs w:val="24"/>
          <w:lang w:val="lv-LV"/>
        </w:rPr>
        <w:t xml:space="preserve">ķirurģiskās </w:t>
      </w:r>
      <w:r w:rsidR="007A250A" w:rsidRPr="00321CBD">
        <w:rPr>
          <w:rFonts w:ascii="Times New Roman" w:hAnsi="Times New Roman" w:cs="Times New Roman"/>
          <w:sz w:val="24"/>
          <w:szCs w:val="24"/>
          <w:lang w:val="lv-LV"/>
        </w:rPr>
        <w:t>iejaukšan</w:t>
      </w:r>
      <w:r w:rsidR="001A749F">
        <w:rPr>
          <w:rFonts w:ascii="Times New Roman" w:hAnsi="Times New Roman" w:cs="Times New Roman"/>
          <w:sz w:val="24"/>
          <w:szCs w:val="24"/>
          <w:lang w:val="lv-LV"/>
        </w:rPr>
        <w:t>ās laikā</w:t>
      </w:r>
      <w:r w:rsidR="007A250A" w:rsidRPr="00321CBD">
        <w:rPr>
          <w:rFonts w:ascii="Times New Roman" w:hAnsi="Times New Roman" w:cs="Times New Roman"/>
          <w:sz w:val="24"/>
          <w:szCs w:val="24"/>
          <w:lang w:val="lv-LV"/>
        </w:rPr>
        <w:t xml:space="preserve">. Sakarā ar šo </w:t>
      </w:r>
      <w:r w:rsidR="00A333AC" w:rsidRPr="00321CBD">
        <w:rPr>
          <w:rFonts w:ascii="Times New Roman" w:hAnsi="Times New Roman" w:cs="Times New Roman"/>
          <w:sz w:val="24"/>
          <w:szCs w:val="24"/>
          <w:lang w:val="lv-LV"/>
        </w:rPr>
        <w:t>nesakārtotību</w:t>
      </w:r>
      <w:r w:rsidR="007A250A" w:rsidRPr="00321CBD">
        <w:rPr>
          <w:rFonts w:ascii="Times New Roman" w:hAnsi="Times New Roman" w:cs="Times New Roman"/>
          <w:sz w:val="24"/>
          <w:szCs w:val="24"/>
          <w:lang w:val="lv-LV"/>
        </w:rPr>
        <w:t xml:space="preserve"> </w:t>
      </w:r>
      <w:r w:rsidR="00A333AC" w:rsidRPr="00321CBD">
        <w:rPr>
          <w:rFonts w:ascii="Times New Roman" w:hAnsi="Times New Roman" w:cs="Times New Roman"/>
          <w:sz w:val="24"/>
          <w:szCs w:val="24"/>
          <w:lang w:val="lv-LV"/>
        </w:rPr>
        <w:t xml:space="preserve">2011. gadā </w:t>
      </w:r>
      <w:r w:rsidR="007A250A" w:rsidRPr="00321CBD">
        <w:rPr>
          <w:rFonts w:ascii="Times New Roman" w:hAnsi="Times New Roman" w:cs="Times New Roman"/>
          <w:sz w:val="24"/>
          <w:szCs w:val="24"/>
          <w:lang w:val="lv-LV"/>
        </w:rPr>
        <w:t>FIGO (</w:t>
      </w:r>
      <w:r w:rsidR="00656ACC" w:rsidRPr="00321CBD">
        <w:rPr>
          <w:rFonts w:ascii="Times New Roman" w:hAnsi="Times New Roman" w:cs="Times New Roman"/>
          <w:sz w:val="24"/>
          <w:szCs w:val="24"/>
          <w:lang w:val="lv-LV"/>
        </w:rPr>
        <w:t xml:space="preserve">International Federation of Gynecology and Obstetrics) piedāvāja jaunu klasifikāciju </w:t>
      </w:r>
      <w:r w:rsidR="00A333AC" w:rsidRPr="00321CBD">
        <w:rPr>
          <w:rFonts w:ascii="Times New Roman" w:hAnsi="Times New Roman" w:cs="Times New Roman"/>
          <w:sz w:val="24"/>
          <w:szCs w:val="24"/>
          <w:lang w:val="lv-LV"/>
        </w:rPr>
        <w:t>patoloģiskajai</w:t>
      </w:r>
      <w:r w:rsidR="00656ACC" w:rsidRPr="00321CBD">
        <w:rPr>
          <w:rFonts w:ascii="Times New Roman" w:hAnsi="Times New Roman" w:cs="Times New Roman"/>
          <w:sz w:val="24"/>
          <w:szCs w:val="24"/>
          <w:lang w:val="lv-LV"/>
        </w:rPr>
        <w:t xml:space="preserve"> dzemdes asiņošanai, </w:t>
      </w:r>
      <w:r w:rsidR="00A333AC" w:rsidRPr="00321CBD">
        <w:rPr>
          <w:rFonts w:ascii="Times New Roman" w:hAnsi="Times New Roman" w:cs="Times New Roman"/>
          <w:sz w:val="24"/>
          <w:szCs w:val="24"/>
          <w:lang w:val="lv-LV"/>
        </w:rPr>
        <w:t xml:space="preserve">nosaucot to </w:t>
      </w:r>
      <w:r w:rsidR="00656ACC" w:rsidRPr="00321CBD">
        <w:rPr>
          <w:rFonts w:ascii="Times New Roman" w:hAnsi="Times New Roman" w:cs="Times New Roman"/>
          <w:sz w:val="24"/>
          <w:szCs w:val="24"/>
          <w:lang w:val="lv-LV"/>
        </w:rPr>
        <w:t>par PALM – COEIN klasifikāciju</w:t>
      </w:r>
      <w:r w:rsidR="00193B66" w:rsidRPr="00193B66">
        <w:rPr>
          <w:rFonts w:ascii="Times New Roman" w:hAnsi="Times New Roman" w:cs="Times New Roman"/>
          <w:sz w:val="24"/>
          <w:szCs w:val="24"/>
          <w:vertAlign w:val="superscript"/>
          <w:lang w:val="lv-LV"/>
        </w:rPr>
        <w:t>4</w:t>
      </w:r>
      <w:r w:rsidR="00C040B8" w:rsidRPr="00321CBD">
        <w:rPr>
          <w:rFonts w:ascii="Times New Roman" w:hAnsi="Times New Roman" w:cs="Times New Roman"/>
          <w:sz w:val="24"/>
          <w:szCs w:val="24"/>
          <w:lang w:val="lv-LV"/>
        </w:rPr>
        <w:t>,</w:t>
      </w:r>
      <w:r w:rsidR="00656ACC" w:rsidRPr="00321CBD">
        <w:rPr>
          <w:rFonts w:ascii="Times New Roman" w:hAnsi="Times New Roman" w:cs="Times New Roman"/>
          <w:sz w:val="24"/>
          <w:szCs w:val="24"/>
          <w:lang w:val="lv-LV"/>
        </w:rPr>
        <w:t xml:space="preserve"> </w:t>
      </w:r>
      <w:r w:rsidR="00C040B8" w:rsidRPr="00321CBD">
        <w:rPr>
          <w:rFonts w:ascii="Times New Roman" w:hAnsi="Times New Roman" w:cs="Times New Roman"/>
          <w:sz w:val="24"/>
          <w:szCs w:val="24"/>
          <w:lang w:val="lv-LV"/>
        </w:rPr>
        <w:t xml:space="preserve">kas kļuva par pamatu vairāku </w:t>
      </w:r>
      <w:r w:rsidR="00656ACC" w:rsidRPr="00321CBD">
        <w:rPr>
          <w:rFonts w:ascii="Times New Roman" w:hAnsi="Times New Roman" w:cs="Times New Roman"/>
          <w:sz w:val="24"/>
          <w:szCs w:val="24"/>
          <w:lang w:val="lv-LV"/>
        </w:rPr>
        <w:t>valst</w:t>
      </w:r>
      <w:r w:rsidR="00C040B8" w:rsidRPr="00321CBD">
        <w:rPr>
          <w:rFonts w:ascii="Times New Roman" w:hAnsi="Times New Roman" w:cs="Times New Roman"/>
          <w:sz w:val="24"/>
          <w:szCs w:val="24"/>
          <w:lang w:val="lv-LV"/>
        </w:rPr>
        <w:t>s</w:t>
      </w:r>
      <w:r w:rsidR="00656ACC" w:rsidRPr="00321CBD">
        <w:rPr>
          <w:rFonts w:ascii="Times New Roman" w:hAnsi="Times New Roman" w:cs="Times New Roman"/>
          <w:sz w:val="24"/>
          <w:szCs w:val="24"/>
          <w:lang w:val="lv-LV"/>
        </w:rPr>
        <w:t xml:space="preserve"> </w:t>
      </w:r>
      <w:r w:rsidR="00C040B8" w:rsidRPr="00321CBD">
        <w:rPr>
          <w:rFonts w:ascii="Times New Roman" w:hAnsi="Times New Roman" w:cs="Times New Roman"/>
          <w:sz w:val="24"/>
          <w:szCs w:val="24"/>
          <w:lang w:val="lv-LV"/>
        </w:rPr>
        <w:t xml:space="preserve">vadlīniju patoloģiskās </w:t>
      </w:r>
      <w:r w:rsidR="00656ACC" w:rsidRPr="00321CBD">
        <w:rPr>
          <w:rFonts w:ascii="Times New Roman" w:hAnsi="Times New Roman" w:cs="Times New Roman"/>
          <w:sz w:val="24"/>
          <w:szCs w:val="24"/>
          <w:lang w:val="lv-LV"/>
        </w:rPr>
        <w:t xml:space="preserve">dzemdes asiņošanas izmeklēšanai. Šajās vadlīnijās </w:t>
      </w:r>
      <w:r w:rsidR="00C040B8" w:rsidRPr="00321CBD">
        <w:rPr>
          <w:rFonts w:ascii="Times New Roman" w:hAnsi="Times New Roman" w:cs="Times New Roman"/>
          <w:sz w:val="24"/>
          <w:szCs w:val="24"/>
          <w:lang w:val="lv-LV"/>
        </w:rPr>
        <w:t>īpaša sadaļa ir veltīta</w:t>
      </w:r>
      <w:r w:rsidR="00656ACC" w:rsidRPr="00321CBD">
        <w:rPr>
          <w:rFonts w:ascii="Times New Roman" w:hAnsi="Times New Roman" w:cs="Times New Roman"/>
          <w:sz w:val="24"/>
          <w:szCs w:val="24"/>
          <w:lang w:val="lv-LV"/>
        </w:rPr>
        <w:t xml:space="preserve"> histeroskopijai </w:t>
      </w:r>
      <w:r w:rsidR="00C040B8" w:rsidRPr="00321CBD">
        <w:rPr>
          <w:rFonts w:ascii="Times New Roman" w:hAnsi="Times New Roman" w:cs="Times New Roman"/>
          <w:sz w:val="24"/>
          <w:szCs w:val="24"/>
          <w:lang w:val="lv-LV"/>
        </w:rPr>
        <w:t xml:space="preserve">kā </w:t>
      </w:r>
      <w:r w:rsidR="00656ACC" w:rsidRPr="00321CBD">
        <w:rPr>
          <w:rFonts w:ascii="Times New Roman" w:hAnsi="Times New Roman" w:cs="Times New Roman"/>
          <w:sz w:val="24"/>
          <w:szCs w:val="24"/>
          <w:lang w:val="lv-LV"/>
        </w:rPr>
        <w:t xml:space="preserve">diagnostikas un ārstēšanas metodei </w:t>
      </w:r>
      <w:r w:rsidR="00EC1203" w:rsidRPr="00321CBD">
        <w:rPr>
          <w:rFonts w:ascii="Times New Roman" w:hAnsi="Times New Roman" w:cs="Times New Roman"/>
          <w:sz w:val="24"/>
          <w:szCs w:val="24"/>
          <w:lang w:val="lv-LV"/>
        </w:rPr>
        <w:t>strukturālām</w:t>
      </w:r>
      <w:r w:rsidR="00656ACC" w:rsidRPr="00321CBD">
        <w:rPr>
          <w:rFonts w:ascii="Times New Roman" w:hAnsi="Times New Roman" w:cs="Times New Roman"/>
          <w:sz w:val="24"/>
          <w:szCs w:val="24"/>
          <w:lang w:val="lv-LV"/>
        </w:rPr>
        <w:t xml:space="preserve"> dzemdes patoloģijām.</w:t>
      </w:r>
    </w:p>
    <w:p w14:paraId="270006B7" w14:textId="6CDECDC8" w:rsidR="00AA02D0" w:rsidRPr="00321CBD" w:rsidRDefault="00AA02D0"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Neskatoties uz jauno PALM – COEIN klasifikāciju </w:t>
      </w:r>
      <w:r w:rsidR="009236C9" w:rsidRPr="00321CBD">
        <w:rPr>
          <w:rFonts w:ascii="Times New Roman" w:hAnsi="Times New Roman" w:cs="Times New Roman"/>
          <w:sz w:val="24"/>
          <w:szCs w:val="24"/>
          <w:lang w:val="lv-LV"/>
        </w:rPr>
        <w:t xml:space="preserve">un to strukturēto </w:t>
      </w:r>
      <w:r w:rsidR="00C040B8" w:rsidRPr="00321CBD">
        <w:rPr>
          <w:rFonts w:ascii="Times New Roman" w:hAnsi="Times New Roman" w:cs="Times New Roman"/>
          <w:sz w:val="24"/>
          <w:szCs w:val="24"/>
          <w:lang w:val="lv-LV"/>
        </w:rPr>
        <w:t>pieeju</w:t>
      </w:r>
      <w:r w:rsidR="009236C9" w:rsidRPr="00321CBD">
        <w:rPr>
          <w:rFonts w:ascii="Times New Roman" w:hAnsi="Times New Roman" w:cs="Times New Roman"/>
          <w:sz w:val="24"/>
          <w:szCs w:val="24"/>
          <w:lang w:val="lv-LV"/>
        </w:rPr>
        <w:t xml:space="preserve"> patoloģiskās asiņošanas izvērtēšanā, Latvijā tā netiek plaši pielietota</w:t>
      </w:r>
      <w:r w:rsidR="00C040B8" w:rsidRPr="00321CBD">
        <w:rPr>
          <w:rFonts w:ascii="Times New Roman" w:hAnsi="Times New Roman" w:cs="Times New Roman"/>
          <w:sz w:val="24"/>
          <w:szCs w:val="24"/>
          <w:lang w:val="lv-LV"/>
        </w:rPr>
        <w:t>. Mūsu valstī</w:t>
      </w:r>
      <w:r w:rsidR="009236C9" w:rsidRPr="00321CBD">
        <w:rPr>
          <w:rFonts w:ascii="Times New Roman" w:hAnsi="Times New Roman" w:cs="Times New Roman"/>
          <w:sz w:val="24"/>
          <w:szCs w:val="24"/>
          <w:lang w:val="lv-LV"/>
        </w:rPr>
        <w:t xml:space="preserve"> asiņošanas apzīmēšanai </w:t>
      </w:r>
      <w:r w:rsidR="00C040B8" w:rsidRPr="00321CBD">
        <w:rPr>
          <w:rFonts w:ascii="Times New Roman" w:hAnsi="Times New Roman" w:cs="Times New Roman"/>
          <w:sz w:val="24"/>
          <w:szCs w:val="24"/>
          <w:lang w:val="lv-LV"/>
        </w:rPr>
        <w:t xml:space="preserve">vēl joprojām </w:t>
      </w:r>
      <w:r w:rsidR="009236C9" w:rsidRPr="00321CBD">
        <w:rPr>
          <w:rFonts w:ascii="Times New Roman" w:hAnsi="Times New Roman" w:cs="Times New Roman"/>
          <w:sz w:val="24"/>
          <w:szCs w:val="24"/>
          <w:lang w:val="lv-LV"/>
        </w:rPr>
        <w:t>tiek lietoti termini „menorrhagia”</w:t>
      </w:r>
      <w:r w:rsidR="00C040B8" w:rsidRPr="00321CBD">
        <w:rPr>
          <w:rFonts w:ascii="Times New Roman" w:hAnsi="Times New Roman" w:cs="Times New Roman"/>
          <w:sz w:val="24"/>
          <w:szCs w:val="24"/>
          <w:lang w:val="lv-LV"/>
        </w:rPr>
        <w:t>,</w:t>
      </w:r>
      <w:r w:rsidR="009236C9" w:rsidRPr="00321CBD">
        <w:rPr>
          <w:rFonts w:ascii="Times New Roman" w:hAnsi="Times New Roman" w:cs="Times New Roman"/>
          <w:sz w:val="24"/>
          <w:szCs w:val="24"/>
          <w:lang w:val="lv-LV"/>
        </w:rPr>
        <w:t xml:space="preserve"> „menometrorrhagia” „met</w:t>
      </w:r>
      <w:r w:rsidR="00C040B8" w:rsidRPr="00321CBD">
        <w:rPr>
          <w:rFonts w:ascii="Times New Roman" w:hAnsi="Times New Roman" w:cs="Times New Roman"/>
          <w:sz w:val="24"/>
          <w:szCs w:val="24"/>
          <w:lang w:val="lv-LV"/>
        </w:rPr>
        <w:t>ro</w:t>
      </w:r>
      <w:r w:rsidR="009236C9" w:rsidRPr="00321CBD">
        <w:rPr>
          <w:rFonts w:ascii="Times New Roman" w:hAnsi="Times New Roman" w:cs="Times New Roman"/>
          <w:sz w:val="24"/>
          <w:szCs w:val="24"/>
          <w:lang w:val="lv-LV"/>
        </w:rPr>
        <w:t>rrhagia” un „disfunkcionāl</w:t>
      </w:r>
      <w:r w:rsidR="00C040B8" w:rsidRPr="00321CBD">
        <w:rPr>
          <w:rFonts w:ascii="Times New Roman" w:hAnsi="Times New Roman" w:cs="Times New Roman"/>
          <w:sz w:val="24"/>
          <w:szCs w:val="24"/>
          <w:lang w:val="lv-LV"/>
        </w:rPr>
        <w:t>ā</w:t>
      </w:r>
      <w:r w:rsidR="009236C9" w:rsidRPr="00321CBD">
        <w:rPr>
          <w:rFonts w:ascii="Times New Roman" w:hAnsi="Times New Roman" w:cs="Times New Roman"/>
          <w:sz w:val="24"/>
          <w:szCs w:val="24"/>
          <w:lang w:val="lv-LV"/>
        </w:rPr>
        <w:t xml:space="preserve"> asiņošana”. </w:t>
      </w:r>
    </w:p>
    <w:p w14:paraId="470E5A3F" w14:textId="45E79669" w:rsidR="009236C9" w:rsidRPr="00321CBD" w:rsidRDefault="008E2EDF"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 xml:space="preserve">Sakarā </w:t>
      </w:r>
      <w:r w:rsidR="00483987">
        <w:rPr>
          <w:rFonts w:ascii="Times New Roman" w:hAnsi="Times New Roman" w:cs="Times New Roman"/>
          <w:sz w:val="24"/>
          <w:szCs w:val="24"/>
          <w:lang w:val="lv-LV"/>
        </w:rPr>
        <w:t xml:space="preserve">ar </w:t>
      </w:r>
      <w:r w:rsidR="00911F1A">
        <w:rPr>
          <w:rFonts w:ascii="Times New Roman" w:hAnsi="Times New Roman" w:cs="Times New Roman"/>
          <w:sz w:val="24"/>
          <w:szCs w:val="24"/>
          <w:lang w:val="lv-LV"/>
        </w:rPr>
        <w:t xml:space="preserve">iepriekš </w:t>
      </w:r>
      <w:r w:rsidRPr="00321CBD">
        <w:rPr>
          <w:rFonts w:ascii="Times New Roman" w:hAnsi="Times New Roman" w:cs="Times New Roman"/>
          <w:sz w:val="24"/>
          <w:szCs w:val="24"/>
          <w:lang w:val="lv-LV"/>
        </w:rPr>
        <w:t>minēt</w:t>
      </w:r>
      <w:r w:rsidR="00483987">
        <w:rPr>
          <w:rFonts w:ascii="Times New Roman" w:hAnsi="Times New Roman" w:cs="Times New Roman"/>
          <w:sz w:val="24"/>
          <w:szCs w:val="24"/>
          <w:lang w:val="lv-LV"/>
        </w:rPr>
        <w:t>ajiem faktoriem</w:t>
      </w:r>
      <w:r w:rsidRPr="00321CBD">
        <w:rPr>
          <w:rFonts w:ascii="Times New Roman" w:hAnsi="Times New Roman" w:cs="Times New Roman"/>
          <w:sz w:val="24"/>
          <w:szCs w:val="24"/>
          <w:lang w:val="lv-LV"/>
        </w:rPr>
        <w:t xml:space="preserve">, </w:t>
      </w:r>
      <w:r w:rsidR="003F2070" w:rsidRPr="00321CBD">
        <w:rPr>
          <w:rFonts w:ascii="Times New Roman" w:hAnsi="Times New Roman" w:cs="Times New Roman"/>
          <w:sz w:val="24"/>
          <w:szCs w:val="24"/>
          <w:lang w:val="lv-LV"/>
        </w:rPr>
        <w:t xml:space="preserve">tika </w:t>
      </w:r>
      <w:r w:rsidRPr="00321CBD">
        <w:rPr>
          <w:rFonts w:ascii="Times New Roman" w:hAnsi="Times New Roman" w:cs="Times New Roman"/>
          <w:sz w:val="24"/>
          <w:szCs w:val="24"/>
          <w:lang w:val="lv-LV"/>
        </w:rPr>
        <w:t xml:space="preserve">nolemts veikt pētījumu par </w:t>
      </w:r>
      <w:r w:rsidR="003F2070" w:rsidRPr="00321CBD">
        <w:rPr>
          <w:rFonts w:ascii="Times New Roman" w:hAnsi="Times New Roman" w:cs="Times New Roman"/>
          <w:sz w:val="24"/>
          <w:szCs w:val="24"/>
          <w:lang w:val="lv-LV"/>
        </w:rPr>
        <w:t xml:space="preserve">patoloģiskās </w:t>
      </w:r>
      <w:r w:rsidRPr="00321CBD">
        <w:rPr>
          <w:rFonts w:ascii="Times New Roman" w:hAnsi="Times New Roman" w:cs="Times New Roman"/>
          <w:sz w:val="24"/>
          <w:szCs w:val="24"/>
          <w:lang w:val="lv-LV"/>
        </w:rPr>
        <w:t>asiņošanas strukturāl</w:t>
      </w:r>
      <w:r w:rsidR="003F2070" w:rsidRPr="00321CBD">
        <w:rPr>
          <w:rFonts w:ascii="Times New Roman" w:hAnsi="Times New Roman" w:cs="Times New Roman"/>
          <w:sz w:val="24"/>
          <w:szCs w:val="24"/>
          <w:lang w:val="lv-LV"/>
        </w:rPr>
        <w:t>aj</w:t>
      </w:r>
      <w:r w:rsidRPr="00321CBD">
        <w:rPr>
          <w:rFonts w:ascii="Times New Roman" w:hAnsi="Times New Roman" w:cs="Times New Roman"/>
          <w:sz w:val="24"/>
          <w:szCs w:val="24"/>
          <w:lang w:val="lv-LV"/>
        </w:rPr>
        <w:t>iem iemesliem</w:t>
      </w:r>
      <w:r w:rsidR="003F2070" w:rsidRPr="00321CBD">
        <w:rPr>
          <w:rFonts w:ascii="Times New Roman" w:hAnsi="Times New Roman" w:cs="Times New Roman"/>
          <w:sz w:val="24"/>
          <w:szCs w:val="24"/>
          <w:lang w:val="lv-LV"/>
        </w:rPr>
        <w:t>, pamatojoties uz</w:t>
      </w:r>
      <w:r w:rsidRPr="00321CBD">
        <w:rPr>
          <w:rFonts w:ascii="Times New Roman" w:hAnsi="Times New Roman" w:cs="Times New Roman"/>
          <w:sz w:val="24"/>
          <w:szCs w:val="24"/>
          <w:lang w:val="lv-LV"/>
        </w:rPr>
        <w:t xml:space="preserve"> PALM – COEIN </w:t>
      </w:r>
      <w:r w:rsidR="00385187" w:rsidRPr="00321CBD">
        <w:rPr>
          <w:rFonts w:ascii="Times New Roman" w:hAnsi="Times New Roman" w:cs="Times New Roman"/>
          <w:sz w:val="24"/>
          <w:szCs w:val="24"/>
          <w:lang w:val="lv-LV"/>
        </w:rPr>
        <w:t>klasifikācijas principiem</w:t>
      </w:r>
      <w:r w:rsidR="003F2070" w:rsidRPr="00321CBD">
        <w:rPr>
          <w:rFonts w:ascii="Times New Roman" w:hAnsi="Times New Roman" w:cs="Times New Roman"/>
          <w:sz w:val="24"/>
          <w:szCs w:val="24"/>
          <w:lang w:val="lv-LV"/>
        </w:rPr>
        <w:t>.</w:t>
      </w:r>
      <w:r w:rsidR="00385187" w:rsidRPr="00321CBD">
        <w:rPr>
          <w:rFonts w:ascii="Times New Roman" w:hAnsi="Times New Roman" w:cs="Times New Roman"/>
          <w:sz w:val="24"/>
          <w:szCs w:val="24"/>
          <w:lang w:val="lv-LV"/>
        </w:rPr>
        <w:t xml:space="preserve"> </w:t>
      </w:r>
    </w:p>
    <w:p w14:paraId="0CA8EC78" w14:textId="77777777" w:rsidR="0037137B" w:rsidRPr="00321CBD" w:rsidRDefault="00FA1D18"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Pētījuma darba hipotēze</w:t>
      </w:r>
    </w:p>
    <w:p w14:paraId="4784794E" w14:textId="50E2074C" w:rsidR="009F0E2D" w:rsidRPr="00321CBD" w:rsidRDefault="009F0E2D" w:rsidP="008A1720">
      <w:pPr>
        <w:pStyle w:val="ListParagraph"/>
        <w:numPr>
          <w:ilvl w:val="0"/>
          <w:numId w:val="1"/>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Organisko </w:t>
      </w:r>
      <w:r w:rsidR="002157C2" w:rsidRPr="00321CBD">
        <w:rPr>
          <w:rFonts w:ascii="Times New Roman" w:hAnsi="Times New Roman" w:cs="Times New Roman"/>
          <w:sz w:val="24"/>
          <w:szCs w:val="24"/>
          <w:lang w:val="lv-LV"/>
        </w:rPr>
        <w:t>patoloģiju</w:t>
      </w:r>
      <w:r w:rsidRPr="00321CBD">
        <w:rPr>
          <w:rFonts w:ascii="Times New Roman" w:hAnsi="Times New Roman" w:cs="Times New Roman"/>
          <w:sz w:val="24"/>
          <w:szCs w:val="24"/>
          <w:lang w:val="lv-LV"/>
        </w:rPr>
        <w:t xml:space="preserve"> struktūra sievietēm Latvijā būtiski neatšķiras no starptautiskās</w:t>
      </w:r>
      <w:r w:rsidR="00483987">
        <w:rPr>
          <w:rFonts w:ascii="Times New Roman" w:hAnsi="Times New Roman" w:cs="Times New Roman"/>
          <w:sz w:val="24"/>
          <w:szCs w:val="24"/>
          <w:lang w:val="lv-LV"/>
        </w:rPr>
        <w:t xml:space="preserve"> struktūras</w:t>
      </w:r>
      <w:r w:rsidRPr="00321CBD">
        <w:rPr>
          <w:rFonts w:ascii="Times New Roman" w:hAnsi="Times New Roman" w:cs="Times New Roman"/>
          <w:sz w:val="24"/>
          <w:szCs w:val="24"/>
          <w:lang w:val="lv-LV"/>
        </w:rPr>
        <w:t>.</w:t>
      </w:r>
    </w:p>
    <w:p w14:paraId="402E8AA4" w14:textId="036B5E84" w:rsidR="00FA1D18" w:rsidRPr="00321CBD" w:rsidRDefault="00FA1D18" w:rsidP="008A1720">
      <w:pPr>
        <w:pStyle w:val="ListParagraph"/>
        <w:numPr>
          <w:ilvl w:val="0"/>
          <w:numId w:val="1"/>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Histeroskopija ir vērtīga metode dzemdes </w:t>
      </w:r>
      <w:r w:rsidR="002157C2" w:rsidRPr="00321CBD">
        <w:rPr>
          <w:rFonts w:ascii="Times New Roman" w:hAnsi="Times New Roman" w:cs="Times New Roman"/>
          <w:sz w:val="24"/>
          <w:szCs w:val="24"/>
          <w:lang w:val="lv-LV"/>
        </w:rPr>
        <w:t>patoloģiskās</w:t>
      </w:r>
      <w:r w:rsidRPr="00321CBD">
        <w:rPr>
          <w:rFonts w:ascii="Times New Roman" w:hAnsi="Times New Roman" w:cs="Times New Roman"/>
          <w:sz w:val="24"/>
          <w:szCs w:val="24"/>
          <w:lang w:val="lv-LV"/>
        </w:rPr>
        <w:t xml:space="preserve"> asiņošanas </w:t>
      </w:r>
      <w:r w:rsidR="007506DB">
        <w:rPr>
          <w:rFonts w:ascii="Times New Roman" w:hAnsi="Times New Roman" w:cs="Times New Roman"/>
          <w:sz w:val="24"/>
          <w:szCs w:val="24"/>
          <w:lang w:val="lv-LV"/>
        </w:rPr>
        <w:t>izmeklēšanā</w:t>
      </w:r>
      <w:r w:rsidR="002157C2" w:rsidRPr="00321CBD">
        <w:rPr>
          <w:rFonts w:ascii="Times New Roman" w:hAnsi="Times New Roman" w:cs="Times New Roman"/>
          <w:sz w:val="24"/>
          <w:szCs w:val="24"/>
          <w:lang w:val="lv-LV"/>
        </w:rPr>
        <w:t>.</w:t>
      </w:r>
    </w:p>
    <w:p w14:paraId="54897F3B" w14:textId="51473825" w:rsidR="00FA1D18" w:rsidRPr="00321CBD" w:rsidRDefault="00EC1E01" w:rsidP="008A1720">
      <w:pPr>
        <w:pStyle w:val="ListParagraph"/>
        <w:numPr>
          <w:ilvl w:val="0"/>
          <w:numId w:val="1"/>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PALM – COEIN klasifikācija ir </w:t>
      </w:r>
      <w:r w:rsidR="002157C2" w:rsidRPr="00321CBD">
        <w:rPr>
          <w:rFonts w:ascii="Times New Roman" w:hAnsi="Times New Roman" w:cs="Times New Roman"/>
          <w:sz w:val="24"/>
          <w:szCs w:val="24"/>
          <w:lang w:val="lv-LV"/>
        </w:rPr>
        <w:t xml:space="preserve">plaši </w:t>
      </w:r>
      <w:r w:rsidR="00FA1D18" w:rsidRPr="00321CBD">
        <w:rPr>
          <w:rFonts w:ascii="Times New Roman" w:hAnsi="Times New Roman" w:cs="Times New Roman"/>
          <w:sz w:val="24"/>
          <w:szCs w:val="24"/>
          <w:lang w:val="lv-LV"/>
        </w:rPr>
        <w:t>pielietojama ginekologa praksē</w:t>
      </w:r>
      <w:r w:rsidR="002157C2" w:rsidRPr="00321CBD">
        <w:rPr>
          <w:rFonts w:ascii="Times New Roman" w:hAnsi="Times New Roman" w:cs="Times New Roman"/>
          <w:sz w:val="24"/>
          <w:szCs w:val="24"/>
          <w:lang w:val="lv-LV"/>
        </w:rPr>
        <w:t>,</w:t>
      </w:r>
      <w:r w:rsidR="00FA1D18" w:rsidRPr="00321CBD">
        <w:rPr>
          <w:rFonts w:ascii="Times New Roman" w:hAnsi="Times New Roman" w:cs="Times New Roman"/>
          <w:sz w:val="24"/>
          <w:szCs w:val="24"/>
          <w:lang w:val="lv-LV"/>
        </w:rPr>
        <w:t xml:space="preserve"> izmeklējot un ārstējot pacienti ar </w:t>
      </w:r>
      <w:r w:rsidR="002157C2" w:rsidRPr="00321CBD">
        <w:rPr>
          <w:rFonts w:ascii="Times New Roman" w:hAnsi="Times New Roman" w:cs="Times New Roman"/>
          <w:sz w:val="24"/>
          <w:szCs w:val="24"/>
          <w:lang w:val="lv-LV"/>
        </w:rPr>
        <w:t>patoloģisko</w:t>
      </w:r>
      <w:r w:rsidR="00FA1D18" w:rsidRPr="00321CBD">
        <w:rPr>
          <w:rFonts w:ascii="Times New Roman" w:hAnsi="Times New Roman" w:cs="Times New Roman"/>
          <w:sz w:val="24"/>
          <w:szCs w:val="24"/>
          <w:lang w:val="lv-LV"/>
        </w:rPr>
        <w:t xml:space="preserve"> dzemdes asiņošanu</w:t>
      </w:r>
      <w:r w:rsidR="002157C2" w:rsidRPr="00321CBD">
        <w:rPr>
          <w:rFonts w:ascii="Times New Roman" w:hAnsi="Times New Roman" w:cs="Times New Roman"/>
          <w:sz w:val="24"/>
          <w:szCs w:val="24"/>
          <w:lang w:val="lv-LV"/>
        </w:rPr>
        <w:t>.</w:t>
      </w:r>
    </w:p>
    <w:p w14:paraId="39E2E97A" w14:textId="77777777" w:rsidR="00FA1D18" w:rsidRPr="00321CBD" w:rsidRDefault="00FA1D18"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Darba mērķis</w:t>
      </w:r>
    </w:p>
    <w:p w14:paraId="5123CE80" w14:textId="0588C53C" w:rsidR="009F0E2D" w:rsidRPr="00321CBD" w:rsidRDefault="009F0E2D" w:rsidP="008A1720">
      <w:pPr>
        <w:pStyle w:val="ListParagraph"/>
        <w:numPr>
          <w:ilvl w:val="0"/>
          <w:numId w:val="2"/>
        </w:numPr>
        <w:spacing w:line="360" w:lineRule="auto"/>
        <w:jc w:val="both"/>
        <w:rPr>
          <w:rFonts w:ascii="Times New Roman" w:hAnsi="Times New Roman" w:cs="Times New Roman"/>
          <w:b/>
          <w:sz w:val="24"/>
          <w:szCs w:val="24"/>
          <w:lang w:val="lv-LV"/>
        </w:rPr>
      </w:pPr>
      <w:r w:rsidRPr="00321CBD">
        <w:rPr>
          <w:rFonts w:ascii="Times New Roman" w:hAnsi="Times New Roman" w:cs="Times New Roman"/>
          <w:sz w:val="24"/>
          <w:szCs w:val="24"/>
          <w:lang w:val="lv-LV"/>
        </w:rPr>
        <w:t>Noskaidrot organiskās patoloģijas struktūru pacientēm ar patoloģisko dzemdes a</w:t>
      </w:r>
      <w:r w:rsidR="003135A9" w:rsidRPr="00321CBD">
        <w:rPr>
          <w:rFonts w:ascii="Times New Roman" w:hAnsi="Times New Roman" w:cs="Times New Roman"/>
          <w:sz w:val="24"/>
          <w:szCs w:val="24"/>
          <w:lang w:val="lv-LV"/>
        </w:rPr>
        <w:t xml:space="preserve">siņošanu, kas </w:t>
      </w:r>
      <w:r w:rsidR="002157C2" w:rsidRPr="00321CBD">
        <w:rPr>
          <w:rFonts w:ascii="Times New Roman" w:hAnsi="Times New Roman" w:cs="Times New Roman"/>
          <w:sz w:val="24"/>
          <w:szCs w:val="24"/>
          <w:lang w:val="lv-LV"/>
        </w:rPr>
        <w:t xml:space="preserve">vērsušas </w:t>
      </w:r>
      <w:r w:rsidRPr="00321CBD">
        <w:rPr>
          <w:rFonts w:ascii="Times New Roman" w:hAnsi="Times New Roman" w:cs="Times New Roman"/>
          <w:sz w:val="24"/>
          <w:szCs w:val="24"/>
          <w:lang w:val="lv-LV"/>
        </w:rPr>
        <w:t>pēc palīdzības A/S „Latvijas Jūras Medicīnas Centrā”</w:t>
      </w:r>
      <w:r w:rsidR="002157C2" w:rsidRPr="00321CBD">
        <w:rPr>
          <w:rFonts w:ascii="Times New Roman" w:hAnsi="Times New Roman" w:cs="Times New Roman"/>
          <w:sz w:val="24"/>
          <w:szCs w:val="24"/>
          <w:lang w:val="lv-LV"/>
        </w:rPr>
        <w:t>.</w:t>
      </w:r>
    </w:p>
    <w:p w14:paraId="65B5F4E4" w14:textId="49159597" w:rsidR="00FA1D18" w:rsidRPr="00321CBD" w:rsidRDefault="002157C2" w:rsidP="008A1720">
      <w:pPr>
        <w:pStyle w:val="ListParagraph"/>
        <w:numPr>
          <w:ilvl w:val="0"/>
          <w:numId w:val="2"/>
        </w:numPr>
        <w:spacing w:line="360" w:lineRule="auto"/>
        <w:jc w:val="both"/>
        <w:rPr>
          <w:rFonts w:ascii="Times New Roman" w:hAnsi="Times New Roman" w:cs="Times New Roman"/>
          <w:b/>
          <w:sz w:val="24"/>
          <w:szCs w:val="24"/>
          <w:lang w:val="lv-LV"/>
        </w:rPr>
      </w:pPr>
      <w:r w:rsidRPr="00321CBD">
        <w:rPr>
          <w:rFonts w:ascii="Times New Roman" w:hAnsi="Times New Roman" w:cs="Times New Roman"/>
          <w:sz w:val="24"/>
          <w:szCs w:val="24"/>
          <w:lang w:val="lv-LV"/>
        </w:rPr>
        <w:t>Pārbaudīt</w:t>
      </w:r>
      <w:r w:rsidR="00FA1D18" w:rsidRPr="00321CBD">
        <w:rPr>
          <w:rFonts w:ascii="Times New Roman" w:hAnsi="Times New Roman" w:cs="Times New Roman"/>
          <w:sz w:val="24"/>
          <w:szCs w:val="24"/>
          <w:lang w:val="lv-LV"/>
        </w:rPr>
        <w:t xml:space="preserve"> </w:t>
      </w:r>
      <w:r w:rsidR="0018215F" w:rsidRPr="00321CBD">
        <w:rPr>
          <w:rFonts w:ascii="Times New Roman" w:hAnsi="Times New Roman" w:cs="Times New Roman"/>
          <w:sz w:val="24"/>
          <w:szCs w:val="24"/>
          <w:lang w:val="lv-LV"/>
        </w:rPr>
        <w:t>histeroskopija</w:t>
      </w:r>
      <w:r w:rsidR="0018215F">
        <w:rPr>
          <w:rFonts w:ascii="Times New Roman" w:hAnsi="Times New Roman" w:cs="Times New Roman"/>
          <w:sz w:val="24"/>
          <w:szCs w:val="24"/>
          <w:lang w:val="lv-LV"/>
        </w:rPr>
        <w:t>s</w:t>
      </w:r>
      <w:r w:rsidR="00FA1D18" w:rsidRPr="00321CBD">
        <w:rPr>
          <w:rFonts w:ascii="Times New Roman" w:hAnsi="Times New Roman" w:cs="Times New Roman"/>
          <w:sz w:val="24"/>
          <w:szCs w:val="24"/>
          <w:lang w:val="lv-LV"/>
        </w:rPr>
        <w:t xml:space="preserve"> efektivitāti patoloģiskas dzemdes asiņošanas </w:t>
      </w:r>
      <w:r w:rsidRPr="00321CBD">
        <w:rPr>
          <w:rFonts w:ascii="Times New Roman" w:hAnsi="Times New Roman" w:cs="Times New Roman"/>
          <w:sz w:val="24"/>
          <w:szCs w:val="24"/>
          <w:lang w:val="lv-LV"/>
        </w:rPr>
        <w:t xml:space="preserve">izmeklēšanai </w:t>
      </w:r>
      <w:r w:rsidR="00FA1D18" w:rsidRPr="00321CBD">
        <w:rPr>
          <w:rFonts w:ascii="Times New Roman" w:hAnsi="Times New Roman" w:cs="Times New Roman"/>
          <w:sz w:val="24"/>
          <w:szCs w:val="24"/>
          <w:lang w:val="lv-LV"/>
        </w:rPr>
        <w:t xml:space="preserve">un </w:t>
      </w:r>
      <w:r w:rsidRPr="00321CBD">
        <w:rPr>
          <w:rFonts w:ascii="Times New Roman" w:hAnsi="Times New Roman" w:cs="Times New Roman"/>
          <w:sz w:val="24"/>
          <w:szCs w:val="24"/>
          <w:lang w:val="lv-LV"/>
        </w:rPr>
        <w:t>ārstēšanai .</w:t>
      </w:r>
    </w:p>
    <w:p w14:paraId="1080BA5A" w14:textId="2E06F410" w:rsidR="00FA1D18" w:rsidRPr="00321CBD" w:rsidRDefault="002157C2" w:rsidP="008A1720">
      <w:pPr>
        <w:pStyle w:val="ListParagraph"/>
        <w:numPr>
          <w:ilvl w:val="0"/>
          <w:numId w:val="2"/>
        </w:numPr>
        <w:spacing w:line="360" w:lineRule="auto"/>
        <w:jc w:val="both"/>
        <w:rPr>
          <w:rFonts w:ascii="Times New Roman" w:hAnsi="Times New Roman" w:cs="Times New Roman"/>
          <w:b/>
          <w:sz w:val="24"/>
          <w:szCs w:val="24"/>
          <w:lang w:val="lv-LV"/>
        </w:rPr>
      </w:pPr>
      <w:r w:rsidRPr="00321CBD">
        <w:rPr>
          <w:rFonts w:ascii="Times New Roman" w:hAnsi="Times New Roman" w:cs="Times New Roman"/>
          <w:sz w:val="24"/>
          <w:szCs w:val="24"/>
          <w:lang w:val="lv-LV"/>
        </w:rPr>
        <w:t>Pārbaudīt</w:t>
      </w:r>
      <w:r w:rsidR="00FA1D18" w:rsidRPr="00321CBD">
        <w:rPr>
          <w:rFonts w:ascii="Times New Roman" w:hAnsi="Times New Roman" w:cs="Times New Roman"/>
          <w:sz w:val="24"/>
          <w:szCs w:val="24"/>
          <w:lang w:val="lv-LV"/>
        </w:rPr>
        <w:t xml:space="preserve"> PALM – COEIN klasifikācijas lietderību klīniskajā praksē</w:t>
      </w:r>
      <w:r w:rsidR="00366CE8" w:rsidRPr="00321CBD">
        <w:rPr>
          <w:rFonts w:ascii="Times New Roman" w:hAnsi="Times New Roman" w:cs="Times New Roman"/>
          <w:sz w:val="24"/>
          <w:szCs w:val="24"/>
          <w:lang w:val="lv-LV"/>
        </w:rPr>
        <w:t>,</w:t>
      </w:r>
      <w:r w:rsidR="00FA1D18"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tās sasaisti</w:t>
      </w:r>
      <w:r w:rsidR="00FA1D18" w:rsidRPr="00321CBD">
        <w:rPr>
          <w:rFonts w:ascii="Times New Roman" w:hAnsi="Times New Roman" w:cs="Times New Roman"/>
          <w:sz w:val="24"/>
          <w:szCs w:val="24"/>
          <w:lang w:val="lv-LV"/>
        </w:rPr>
        <w:t xml:space="preserve"> ar histeroskopisko un histoloģisko atradni</w:t>
      </w:r>
      <w:r w:rsidR="00366CE8" w:rsidRPr="00321CBD">
        <w:rPr>
          <w:rFonts w:ascii="Times New Roman" w:hAnsi="Times New Roman" w:cs="Times New Roman"/>
          <w:sz w:val="24"/>
          <w:szCs w:val="24"/>
          <w:lang w:val="lv-LV"/>
        </w:rPr>
        <w:t>,</w:t>
      </w:r>
      <w:r w:rsidR="00FA1D18" w:rsidRPr="00321CBD">
        <w:rPr>
          <w:rFonts w:ascii="Times New Roman" w:hAnsi="Times New Roman" w:cs="Times New Roman"/>
          <w:sz w:val="24"/>
          <w:szCs w:val="24"/>
          <w:lang w:val="lv-LV"/>
        </w:rPr>
        <w:t xml:space="preserve"> </w:t>
      </w:r>
      <w:r w:rsidR="00366CE8" w:rsidRPr="00321CBD">
        <w:rPr>
          <w:rFonts w:ascii="Times New Roman" w:hAnsi="Times New Roman" w:cs="Times New Roman"/>
          <w:sz w:val="24"/>
          <w:szCs w:val="24"/>
          <w:lang w:val="lv-LV"/>
        </w:rPr>
        <w:t>tālāk</w:t>
      </w:r>
      <w:r w:rsidR="0018215F">
        <w:rPr>
          <w:rFonts w:ascii="Times New Roman" w:hAnsi="Times New Roman" w:cs="Times New Roman"/>
          <w:sz w:val="24"/>
          <w:szCs w:val="24"/>
          <w:lang w:val="lv-LV"/>
        </w:rPr>
        <w:t>ām</w:t>
      </w:r>
      <w:r w:rsidR="00FA1D18" w:rsidRPr="00321CBD">
        <w:rPr>
          <w:rFonts w:ascii="Times New Roman" w:hAnsi="Times New Roman" w:cs="Times New Roman"/>
          <w:sz w:val="24"/>
          <w:szCs w:val="24"/>
          <w:lang w:val="lv-LV"/>
        </w:rPr>
        <w:t xml:space="preserve"> ārstēšanas iespējām.</w:t>
      </w:r>
    </w:p>
    <w:p w14:paraId="3579DB46" w14:textId="77777777" w:rsidR="00FA1D18" w:rsidRPr="00321CBD" w:rsidRDefault="00FA1D18"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Darba uzdevumi</w:t>
      </w:r>
    </w:p>
    <w:p w14:paraId="1EDDD856" w14:textId="038C7BE3" w:rsidR="00FA1D18" w:rsidRPr="00321CBD" w:rsidRDefault="00483987" w:rsidP="008A1720">
      <w:pPr>
        <w:pStyle w:val="ListParagraph"/>
        <w:numPr>
          <w:ilvl w:val="0"/>
          <w:numId w:val="3"/>
        </w:numPr>
        <w:spacing w:line="36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P</w:t>
      </w:r>
      <w:r w:rsidR="00FA1D18" w:rsidRPr="00321CBD">
        <w:rPr>
          <w:rFonts w:ascii="Times New Roman" w:hAnsi="Times New Roman" w:cs="Times New Roman"/>
          <w:sz w:val="24"/>
          <w:szCs w:val="24"/>
          <w:lang w:val="lv-LV"/>
        </w:rPr>
        <w:t xml:space="preserve">ētīt </w:t>
      </w:r>
      <w:r w:rsidR="00366CE8" w:rsidRPr="00321CBD">
        <w:rPr>
          <w:rFonts w:ascii="Times New Roman" w:hAnsi="Times New Roman" w:cs="Times New Roman"/>
          <w:sz w:val="24"/>
          <w:szCs w:val="24"/>
          <w:lang w:val="lv-LV"/>
        </w:rPr>
        <w:t xml:space="preserve">starptautisko </w:t>
      </w:r>
      <w:r w:rsidR="00FA1D18" w:rsidRPr="00321CBD">
        <w:rPr>
          <w:rFonts w:ascii="Times New Roman" w:hAnsi="Times New Roman" w:cs="Times New Roman"/>
          <w:sz w:val="24"/>
          <w:szCs w:val="24"/>
          <w:lang w:val="lv-LV"/>
        </w:rPr>
        <w:t xml:space="preserve">literatūru </w:t>
      </w:r>
      <w:r w:rsidR="00366CE8" w:rsidRPr="00321CBD">
        <w:rPr>
          <w:rFonts w:ascii="Times New Roman" w:hAnsi="Times New Roman" w:cs="Times New Roman"/>
          <w:sz w:val="24"/>
          <w:szCs w:val="24"/>
          <w:lang w:val="lv-LV"/>
        </w:rPr>
        <w:t xml:space="preserve">par izvēlēto </w:t>
      </w:r>
      <w:r w:rsidR="00FA1D18" w:rsidRPr="00321CBD">
        <w:rPr>
          <w:rFonts w:ascii="Times New Roman" w:hAnsi="Times New Roman" w:cs="Times New Roman"/>
          <w:sz w:val="24"/>
          <w:szCs w:val="24"/>
          <w:lang w:val="lv-LV"/>
        </w:rPr>
        <w:t>t</w:t>
      </w:r>
      <w:r w:rsidR="0018215F">
        <w:rPr>
          <w:rFonts w:ascii="Times New Roman" w:hAnsi="Times New Roman" w:cs="Times New Roman"/>
          <w:sz w:val="24"/>
          <w:szCs w:val="24"/>
          <w:lang w:val="lv-LV"/>
        </w:rPr>
        <w:t>ematu</w:t>
      </w:r>
      <w:r w:rsidR="00366CE8" w:rsidRPr="00321CBD">
        <w:rPr>
          <w:rFonts w:ascii="Times New Roman" w:hAnsi="Times New Roman" w:cs="Times New Roman"/>
          <w:sz w:val="24"/>
          <w:szCs w:val="24"/>
          <w:lang w:val="lv-LV"/>
        </w:rPr>
        <w:t>.</w:t>
      </w:r>
    </w:p>
    <w:p w14:paraId="3FC10ECB" w14:textId="3F79769A" w:rsidR="00FA1D18" w:rsidRPr="00321CBD" w:rsidRDefault="00483987" w:rsidP="008A1720">
      <w:pPr>
        <w:pStyle w:val="ListParagraph"/>
        <w:numPr>
          <w:ilvl w:val="0"/>
          <w:numId w:val="3"/>
        </w:numPr>
        <w:spacing w:line="360" w:lineRule="auto"/>
        <w:jc w:val="both"/>
        <w:rPr>
          <w:rFonts w:ascii="Times New Roman" w:hAnsi="Times New Roman" w:cs="Times New Roman"/>
          <w:b/>
          <w:sz w:val="24"/>
          <w:szCs w:val="24"/>
          <w:lang w:val="lv-LV"/>
        </w:rPr>
      </w:pPr>
      <w:r>
        <w:rPr>
          <w:rFonts w:ascii="Times New Roman" w:hAnsi="Times New Roman" w:cs="Times New Roman"/>
          <w:sz w:val="24"/>
          <w:szCs w:val="24"/>
          <w:lang w:val="lv-LV"/>
        </w:rPr>
        <w:t>Izveidot</w:t>
      </w:r>
      <w:r w:rsidRPr="00321CBD">
        <w:rPr>
          <w:rFonts w:ascii="Times New Roman" w:hAnsi="Times New Roman" w:cs="Times New Roman"/>
          <w:sz w:val="24"/>
          <w:szCs w:val="24"/>
          <w:lang w:val="lv-LV"/>
        </w:rPr>
        <w:t xml:space="preserve"> </w:t>
      </w:r>
      <w:r w:rsidR="00F91EB9" w:rsidRPr="00321CBD">
        <w:rPr>
          <w:rFonts w:ascii="Times New Roman" w:hAnsi="Times New Roman" w:cs="Times New Roman"/>
          <w:sz w:val="24"/>
          <w:szCs w:val="24"/>
          <w:lang w:val="lv-LV"/>
        </w:rPr>
        <w:t>pētījuma protokolu</w:t>
      </w:r>
      <w:r w:rsidR="00366CE8" w:rsidRPr="00321CBD">
        <w:rPr>
          <w:rFonts w:ascii="Times New Roman" w:hAnsi="Times New Roman" w:cs="Times New Roman"/>
          <w:sz w:val="24"/>
          <w:szCs w:val="24"/>
          <w:lang w:val="lv-LV"/>
        </w:rPr>
        <w:t>.</w:t>
      </w:r>
    </w:p>
    <w:p w14:paraId="6C615A62" w14:textId="31C7C232" w:rsidR="00F91EB9" w:rsidRPr="00321CBD" w:rsidRDefault="00F91EB9" w:rsidP="008A1720">
      <w:pPr>
        <w:pStyle w:val="ListParagraph"/>
        <w:numPr>
          <w:ilvl w:val="0"/>
          <w:numId w:val="3"/>
        </w:numPr>
        <w:spacing w:line="360" w:lineRule="auto"/>
        <w:jc w:val="both"/>
        <w:rPr>
          <w:rFonts w:ascii="Times New Roman" w:hAnsi="Times New Roman" w:cs="Times New Roman"/>
          <w:b/>
          <w:sz w:val="24"/>
          <w:szCs w:val="24"/>
          <w:lang w:val="lv-LV"/>
        </w:rPr>
      </w:pPr>
      <w:r w:rsidRPr="00321CBD">
        <w:rPr>
          <w:rFonts w:ascii="Times New Roman" w:hAnsi="Times New Roman" w:cs="Times New Roman"/>
          <w:sz w:val="24"/>
          <w:szCs w:val="24"/>
          <w:lang w:val="lv-LV"/>
        </w:rPr>
        <w:t>Atlasīt datus no A/S „Latvijas Jūras Medicīnas Centr</w:t>
      </w:r>
      <w:r w:rsidR="0018215F">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 arhīva atbilstoši </w:t>
      </w:r>
      <w:r w:rsidR="00366CE8" w:rsidRPr="00321CBD">
        <w:rPr>
          <w:rFonts w:ascii="Times New Roman" w:hAnsi="Times New Roman" w:cs="Times New Roman"/>
          <w:sz w:val="24"/>
          <w:szCs w:val="24"/>
          <w:lang w:val="lv-LV"/>
        </w:rPr>
        <w:t>pētījuma</w:t>
      </w:r>
      <w:r w:rsidRPr="00321CBD">
        <w:rPr>
          <w:rFonts w:ascii="Times New Roman" w:hAnsi="Times New Roman" w:cs="Times New Roman"/>
          <w:sz w:val="24"/>
          <w:szCs w:val="24"/>
          <w:lang w:val="lv-LV"/>
        </w:rPr>
        <w:t xml:space="preserve"> protokolam</w:t>
      </w:r>
      <w:r w:rsidR="00366CE8" w:rsidRPr="00321CBD">
        <w:rPr>
          <w:rFonts w:ascii="Times New Roman" w:hAnsi="Times New Roman" w:cs="Times New Roman"/>
          <w:sz w:val="24"/>
          <w:szCs w:val="24"/>
          <w:lang w:val="lv-LV"/>
        </w:rPr>
        <w:t>.</w:t>
      </w:r>
    </w:p>
    <w:p w14:paraId="6DD55D3B" w14:textId="114B2FDC" w:rsidR="009F0E2D" w:rsidRPr="00321CBD" w:rsidRDefault="00366CE8" w:rsidP="009F0E2D">
      <w:pPr>
        <w:pStyle w:val="ListParagraph"/>
        <w:numPr>
          <w:ilvl w:val="0"/>
          <w:numId w:val="3"/>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w:t>
      </w:r>
      <w:r w:rsidR="00F91EB9" w:rsidRPr="00321CBD">
        <w:rPr>
          <w:rFonts w:ascii="Times New Roman" w:hAnsi="Times New Roman" w:cs="Times New Roman"/>
          <w:sz w:val="24"/>
          <w:szCs w:val="24"/>
          <w:lang w:val="lv-LV"/>
        </w:rPr>
        <w:t>nalizēt iegūtos datus</w:t>
      </w:r>
      <w:r w:rsidRPr="00321CBD">
        <w:rPr>
          <w:rFonts w:ascii="Times New Roman" w:hAnsi="Times New Roman" w:cs="Times New Roman"/>
          <w:sz w:val="24"/>
          <w:szCs w:val="24"/>
          <w:lang w:val="lv-LV"/>
        </w:rPr>
        <w:t>.</w:t>
      </w:r>
    </w:p>
    <w:p w14:paraId="2D66958C" w14:textId="77777777" w:rsidR="00B924AB" w:rsidRPr="00321CBD" w:rsidRDefault="00B924AB">
      <w:pPr>
        <w:rPr>
          <w:rFonts w:ascii="Times New Roman" w:hAnsi="Times New Roman" w:cs="Times New Roman"/>
          <w:b/>
          <w:sz w:val="24"/>
          <w:szCs w:val="24"/>
          <w:lang w:val="lv-LV"/>
        </w:rPr>
      </w:pPr>
    </w:p>
    <w:p w14:paraId="7ADB59C2" w14:textId="77777777" w:rsidR="00412DE4" w:rsidRDefault="00412DE4">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14:paraId="5383F21A" w14:textId="0D727411" w:rsidR="00F91EB9" w:rsidRPr="00321CBD" w:rsidRDefault="009068CC" w:rsidP="009F0E2D">
      <w:pPr>
        <w:pStyle w:val="ListParagraph"/>
        <w:spacing w:line="360" w:lineRule="auto"/>
        <w:ind w:left="787"/>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lastRenderedPageBreak/>
        <w:t>Literatūras apskats</w:t>
      </w:r>
    </w:p>
    <w:p w14:paraId="07EBABE9" w14:textId="699677CD" w:rsidR="000E6C1C" w:rsidRPr="00321CBD" w:rsidRDefault="000E6C1C" w:rsidP="008A1720">
      <w:pPr>
        <w:pStyle w:val="ListParagraph"/>
        <w:spacing w:line="360" w:lineRule="auto"/>
        <w:ind w:left="787"/>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 xml:space="preserve">Kas ir </w:t>
      </w:r>
      <w:r w:rsidR="00CC4005" w:rsidRPr="00321CBD">
        <w:rPr>
          <w:rFonts w:ascii="Times New Roman" w:hAnsi="Times New Roman" w:cs="Times New Roman"/>
          <w:b/>
          <w:sz w:val="24"/>
          <w:szCs w:val="24"/>
          <w:lang w:val="lv-LV"/>
        </w:rPr>
        <w:t xml:space="preserve">patoloģiskā </w:t>
      </w:r>
      <w:r w:rsidRPr="00321CBD">
        <w:rPr>
          <w:rFonts w:ascii="Times New Roman" w:hAnsi="Times New Roman" w:cs="Times New Roman"/>
          <w:b/>
          <w:sz w:val="24"/>
          <w:szCs w:val="24"/>
          <w:lang w:val="lv-LV"/>
        </w:rPr>
        <w:t>dzemdes asiņošana?</w:t>
      </w:r>
      <w:r w:rsidR="00C70AFF" w:rsidRPr="00321CBD">
        <w:rPr>
          <w:rFonts w:ascii="Times New Roman" w:hAnsi="Times New Roman" w:cs="Times New Roman"/>
          <w:b/>
          <w:sz w:val="24"/>
          <w:szCs w:val="24"/>
          <w:lang w:val="lv-LV"/>
        </w:rPr>
        <w:t xml:space="preserve"> </w:t>
      </w:r>
      <w:r w:rsidR="00CC4005" w:rsidRPr="00321CBD">
        <w:rPr>
          <w:rFonts w:ascii="Times New Roman" w:hAnsi="Times New Roman" w:cs="Times New Roman"/>
          <w:b/>
          <w:sz w:val="24"/>
          <w:szCs w:val="24"/>
          <w:lang w:val="lv-LV"/>
        </w:rPr>
        <w:t>Klasifikācijas</w:t>
      </w:r>
      <w:r w:rsidR="00C70AFF" w:rsidRPr="00321CBD">
        <w:rPr>
          <w:rFonts w:ascii="Times New Roman" w:hAnsi="Times New Roman" w:cs="Times New Roman"/>
          <w:b/>
          <w:sz w:val="24"/>
          <w:szCs w:val="24"/>
          <w:lang w:val="lv-LV"/>
        </w:rPr>
        <w:t xml:space="preserve"> un terminoloģijas iespējas</w:t>
      </w:r>
    </w:p>
    <w:p w14:paraId="772EC2A9" w14:textId="67019216" w:rsidR="009068CC" w:rsidRPr="00321CBD" w:rsidRDefault="00CC4005" w:rsidP="008A1720">
      <w:pPr>
        <w:spacing w:line="360" w:lineRule="auto"/>
        <w:ind w:firstLine="36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Patoloģiskā </w:t>
      </w:r>
      <w:r w:rsidR="001076EE" w:rsidRPr="00321CBD">
        <w:rPr>
          <w:rFonts w:ascii="Times New Roman" w:hAnsi="Times New Roman" w:cs="Times New Roman"/>
          <w:sz w:val="24"/>
          <w:szCs w:val="24"/>
          <w:lang w:val="lv-LV"/>
        </w:rPr>
        <w:t>dzemdes asiņošana</w:t>
      </w:r>
      <w:r w:rsidR="00142022" w:rsidRPr="00321CBD">
        <w:rPr>
          <w:rFonts w:ascii="Times New Roman" w:hAnsi="Times New Roman" w:cs="Times New Roman"/>
          <w:sz w:val="24"/>
          <w:szCs w:val="24"/>
          <w:lang w:val="lv-LV"/>
        </w:rPr>
        <w:t xml:space="preserve"> ir menstruālā cikla traucējumu veids, kas </w:t>
      </w:r>
      <w:r w:rsidRPr="00321CBD">
        <w:rPr>
          <w:rFonts w:ascii="Times New Roman" w:hAnsi="Times New Roman" w:cs="Times New Roman"/>
          <w:sz w:val="24"/>
          <w:szCs w:val="24"/>
          <w:lang w:val="lv-LV"/>
        </w:rPr>
        <w:t>izpaužas</w:t>
      </w:r>
      <w:r w:rsidR="00142022" w:rsidRPr="00321CBD">
        <w:rPr>
          <w:rFonts w:ascii="Times New Roman" w:hAnsi="Times New Roman" w:cs="Times New Roman"/>
          <w:sz w:val="24"/>
          <w:szCs w:val="24"/>
          <w:lang w:val="lv-LV"/>
        </w:rPr>
        <w:t xml:space="preserve"> ar asiņainiem izdalījumiem no dzemdes, kas neatbilst normālām </w:t>
      </w:r>
      <w:r w:rsidRPr="00321CBD">
        <w:rPr>
          <w:rFonts w:ascii="Times New Roman" w:hAnsi="Times New Roman" w:cs="Times New Roman"/>
          <w:sz w:val="24"/>
          <w:szCs w:val="24"/>
          <w:lang w:val="lv-LV"/>
        </w:rPr>
        <w:t>menstruācijām</w:t>
      </w:r>
      <w:r w:rsidR="00142022" w:rsidRPr="00321CBD">
        <w:rPr>
          <w:rFonts w:ascii="Times New Roman" w:hAnsi="Times New Roman" w:cs="Times New Roman"/>
          <w:sz w:val="24"/>
          <w:szCs w:val="24"/>
          <w:lang w:val="lv-LV"/>
        </w:rPr>
        <w:t xml:space="preserve">. </w:t>
      </w:r>
      <w:r w:rsidR="006E2479" w:rsidRPr="00321CBD">
        <w:rPr>
          <w:rFonts w:ascii="Times New Roman" w:hAnsi="Times New Roman" w:cs="Times New Roman"/>
          <w:sz w:val="24"/>
          <w:szCs w:val="24"/>
          <w:lang w:val="lv-LV"/>
        </w:rPr>
        <w:t xml:space="preserve">Normālai menstruālai asiņošanai piemīt </w:t>
      </w:r>
      <w:r w:rsidRPr="00321CBD">
        <w:rPr>
          <w:rFonts w:ascii="Times New Roman" w:hAnsi="Times New Roman" w:cs="Times New Roman"/>
          <w:sz w:val="24"/>
          <w:szCs w:val="24"/>
          <w:lang w:val="lv-LV"/>
        </w:rPr>
        <w:t>sekojošas</w:t>
      </w:r>
      <w:r w:rsidR="006E2479" w:rsidRPr="00321CBD">
        <w:rPr>
          <w:rFonts w:ascii="Times New Roman" w:hAnsi="Times New Roman" w:cs="Times New Roman"/>
          <w:sz w:val="24"/>
          <w:szCs w:val="24"/>
          <w:lang w:val="lv-LV"/>
        </w:rPr>
        <w:t xml:space="preserve"> pazīmes</w:t>
      </w:r>
      <w:r w:rsidR="00193B66" w:rsidRPr="00193B66">
        <w:rPr>
          <w:rFonts w:ascii="Times New Roman" w:hAnsi="Times New Roman" w:cs="Times New Roman"/>
          <w:sz w:val="24"/>
          <w:szCs w:val="24"/>
          <w:vertAlign w:val="superscript"/>
          <w:lang w:val="lv-LV"/>
        </w:rPr>
        <w:t>5</w:t>
      </w:r>
      <w:r w:rsidR="00483987">
        <w:rPr>
          <w:rFonts w:ascii="Times New Roman" w:hAnsi="Times New Roman" w:cs="Times New Roman"/>
          <w:sz w:val="24"/>
          <w:szCs w:val="24"/>
          <w:lang w:val="lv-LV"/>
        </w:rPr>
        <w:t>:</w:t>
      </w:r>
    </w:p>
    <w:p w14:paraId="57EED65D" w14:textId="41E900B0" w:rsidR="006E2479" w:rsidRPr="00321CBD" w:rsidRDefault="006E2479" w:rsidP="008A1720">
      <w:pPr>
        <w:pStyle w:val="ListParagraph"/>
        <w:numPr>
          <w:ilvl w:val="0"/>
          <w:numId w:val="4"/>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Vecums – no menarche līdz menopauzes vecumam (</w:t>
      </w:r>
      <w:r w:rsidR="0018215F" w:rsidRPr="00321CBD">
        <w:rPr>
          <w:rFonts w:ascii="Times New Roman" w:hAnsi="Times New Roman" w:cs="Times New Roman"/>
          <w:sz w:val="24"/>
          <w:szCs w:val="24"/>
          <w:lang w:val="lv-LV"/>
        </w:rPr>
        <w:t xml:space="preserve">vidēji </w:t>
      </w:r>
      <w:r w:rsidRPr="00321CBD">
        <w:rPr>
          <w:rFonts w:ascii="Times New Roman" w:hAnsi="Times New Roman" w:cs="Times New Roman"/>
          <w:sz w:val="24"/>
          <w:szCs w:val="24"/>
          <w:lang w:val="lv-LV"/>
        </w:rPr>
        <w:t>13 līdz 51 gads)</w:t>
      </w:r>
      <w:r w:rsidR="00483987">
        <w:rPr>
          <w:rFonts w:ascii="Times New Roman" w:hAnsi="Times New Roman" w:cs="Times New Roman"/>
          <w:sz w:val="24"/>
          <w:szCs w:val="24"/>
          <w:lang w:val="lv-LV"/>
        </w:rPr>
        <w:t>;</w:t>
      </w:r>
    </w:p>
    <w:p w14:paraId="00A28920" w14:textId="22CC2493" w:rsidR="006E2479" w:rsidRPr="00321CBD" w:rsidRDefault="006E2479" w:rsidP="008A1720">
      <w:pPr>
        <w:pStyle w:val="ListParagraph"/>
        <w:numPr>
          <w:ilvl w:val="0"/>
          <w:numId w:val="4"/>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Cikliska norise – </w:t>
      </w:r>
      <w:r w:rsidR="00483987">
        <w:rPr>
          <w:rFonts w:ascii="Times New Roman" w:hAnsi="Times New Roman" w:cs="Times New Roman"/>
          <w:sz w:val="24"/>
          <w:szCs w:val="24"/>
          <w:lang w:val="lv-LV"/>
        </w:rPr>
        <w:t xml:space="preserve">vidēji </w:t>
      </w:r>
      <w:r w:rsidRPr="00321CBD">
        <w:rPr>
          <w:rFonts w:ascii="Times New Roman" w:hAnsi="Times New Roman" w:cs="Times New Roman"/>
          <w:sz w:val="24"/>
          <w:szCs w:val="24"/>
          <w:lang w:val="lv-LV"/>
        </w:rPr>
        <w:t xml:space="preserve">sievietēm </w:t>
      </w:r>
      <w:r w:rsidR="00CC4005" w:rsidRPr="00321CBD">
        <w:rPr>
          <w:rFonts w:ascii="Times New Roman" w:hAnsi="Times New Roman" w:cs="Times New Roman"/>
          <w:sz w:val="24"/>
          <w:szCs w:val="24"/>
          <w:lang w:val="lv-LV"/>
        </w:rPr>
        <w:t>menstruālais</w:t>
      </w:r>
      <w:r w:rsidRPr="00321CBD">
        <w:rPr>
          <w:rFonts w:ascii="Times New Roman" w:hAnsi="Times New Roman" w:cs="Times New Roman"/>
          <w:sz w:val="24"/>
          <w:szCs w:val="24"/>
          <w:lang w:val="lv-LV"/>
        </w:rPr>
        <w:t xml:space="preserve"> cikls ilgst 28 dienas</w:t>
      </w:r>
      <w:r w:rsidR="00483987">
        <w:rPr>
          <w:rFonts w:ascii="Times New Roman" w:hAnsi="Times New Roman" w:cs="Times New Roman"/>
          <w:sz w:val="24"/>
          <w:szCs w:val="24"/>
          <w:lang w:val="lv-LV"/>
        </w:rPr>
        <w:t>;</w:t>
      </w:r>
    </w:p>
    <w:p w14:paraId="76735435" w14:textId="429925B3" w:rsidR="006E2479" w:rsidRPr="00321CBD" w:rsidRDefault="00CC4005" w:rsidP="008A1720">
      <w:pPr>
        <w:pStyle w:val="ListParagraph"/>
        <w:numPr>
          <w:ilvl w:val="0"/>
          <w:numId w:val="4"/>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Menstruālā </w:t>
      </w:r>
      <w:r w:rsidR="00090782">
        <w:rPr>
          <w:rFonts w:ascii="Times New Roman" w:hAnsi="Times New Roman" w:cs="Times New Roman"/>
          <w:sz w:val="24"/>
          <w:szCs w:val="24"/>
          <w:lang w:val="lv-LV"/>
        </w:rPr>
        <w:t>cikla divfāziskums ar ovulācijas notikumu starp fāzēm</w:t>
      </w:r>
      <w:r w:rsidR="00483987">
        <w:rPr>
          <w:rFonts w:ascii="Times New Roman" w:hAnsi="Times New Roman" w:cs="Times New Roman"/>
          <w:sz w:val="24"/>
          <w:szCs w:val="24"/>
          <w:lang w:val="lv-LV"/>
        </w:rPr>
        <w:t>;</w:t>
      </w:r>
    </w:p>
    <w:p w14:paraId="41726F50" w14:textId="14FD89D6" w:rsidR="00D942F1" w:rsidRPr="00321CBD" w:rsidRDefault="00D942F1" w:rsidP="008A1720">
      <w:pPr>
        <w:pStyle w:val="ListParagraph"/>
        <w:numPr>
          <w:ilvl w:val="0"/>
          <w:numId w:val="4"/>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Menstruāciju ilgums – normālos apstākļos no 2 līdz 7 dienām</w:t>
      </w:r>
      <w:r w:rsidR="00483987">
        <w:rPr>
          <w:rFonts w:ascii="Times New Roman" w:hAnsi="Times New Roman" w:cs="Times New Roman"/>
          <w:sz w:val="24"/>
          <w:szCs w:val="24"/>
          <w:lang w:val="lv-LV"/>
        </w:rPr>
        <w:t>;</w:t>
      </w:r>
    </w:p>
    <w:p w14:paraId="5E253165" w14:textId="677348AF" w:rsidR="00D942F1" w:rsidRPr="00321CBD" w:rsidRDefault="00D942F1" w:rsidP="008A1720">
      <w:pPr>
        <w:pStyle w:val="ListParagraph"/>
        <w:numPr>
          <w:ilvl w:val="0"/>
          <w:numId w:val="4"/>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Menstruāciju apjoms – normālos apstākļos no 30 līdz 80 ml</w:t>
      </w:r>
      <w:r w:rsidR="00483987">
        <w:rPr>
          <w:rFonts w:ascii="Times New Roman" w:hAnsi="Times New Roman" w:cs="Times New Roman"/>
          <w:sz w:val="24"/>
          <w:szCs w:val="24"/>
          <w:lang w:val="lv-LV"/>
        </w:rPr>
        <w:t>.</w:t>
      </w:r>
    </w:p>
    <w:p w14:paraId="53E4C7A8" w14:textId="593867A8" w:rsidR="00C70AFF" w:rsidRPr="00321CBD" w:rsidRDefault="00C70AFF" w:rsidP="008A1720">
      <w:pPr>
        <w:spacing w:line="360" w:lineRule="auto"/>
        <w:ind w:firstLine="36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Visbiežāk </w:t>
      </w:r>
      <w:r w:rsidR="00483987">
        <w:rPr>
          <w:rFonts w:ascii="Times New Roman" w:hAnsi="Times New Roman" w:cs="Times New Roman"/>
          <w:sz w:val="24"/>
          <w:szCs w:val="24"/>
          <w:lang w:val="lv-LV"/>
        </w:rPr>
        <w:t>ar</w:t>
      </w:r>
      <w:r w:rsidRPr="00321CBD">
        <w:rPr>
          <w:rFonts w:ascii="Times New Roman" w:hAnsi="Times New Roman" w:cs="Times New Roman"/>
          <w:sz w:val="24"/>
          <w:szCs w:val="24"/>
          <w:lang w:val="lv-LV"/>
        </w:rPr>
        <w:t xml:space="preserve"> </w:t>
      </w:r>
      <w:r w:rsidR="007E7410" w:rsidRPr="00321CBD">
        <w:rPr>
          <w:rFonts w:ascii="Times New Roman" w:hAnsi="Times New Roman" w:cs="Times New Roman"/>
          <w:sz w:val="24"/>
          <w:szCs w:val="24"/>
          <w:lang w:val="lv-LV"/>
        </w:rPr>
        <w:t>patoloģisk</w:t>
      </w:r>
      <w:r w:rsidR="00483987">
        <w:rPr>
          <w:rFonts w:ascii="Times New Roman" w:hAnsi="Times New Roman" w:cs="Times New Roman"/>
          <w:sz w:val="24"/>
          <w:szCs w:val="24"/>
          <w:lang w:val="lv-LV"/>
        </w:rPr>
        <w:t>u</w:t>
      </w:r>
      <w:r w:rsidR="007E7410"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dzemdes asiņošan</w:t>
      </w:r>
      <w:r w:rsidR="00483987">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saprot pastiprinātus asiņainus izdalījumus no dzimumceļiem, jo tas stipri ietekmē sievietes labsajūtu un </w:t>
      </w:r>
      <w:r w:rsidR="007D7310" w:rsidRPr="00321CBD">
        <w:rPr>
          <w:rFonts w:ascii="Times New Roman" w:hAnsi="Times New Roman" w:cs="Times New Roman"/>
          <w:sz w:val="24"/>
          <w:szCs w:val="24"/>
          <w:lang w:val="lv-LV"/>
        </w:rPr>
        <w:t>ikdienas dzīvi</w:t>
      </w:r>
      <w:r w:rsidR="00193B66" w:rsidRPr="00193B66">
        <w:rPr>
          <w:rFonts w:ascii="Times New Roman" w:hAnsi="Times New Roman" w:cs="Times New Roman"/>
          <w:sz w:val="24"/>
          <w:szCs w:val="24"/>
          <w:vertAlign w:val="superscript"/>
          <w:lang w:val="lv-LV"/>
        </w:rPr>
        <w:t>6</w:t>
      </w:r>
      <w:r w:rsidR="00483987">
        <w:rPr>
          <w:rFonts w:ascii="Times New Roman" w:hAnsi="Times New Roman" w:cs="Times New Roman"/>
          <w:sz w:val="24"/>
          <w:szCs w:val="24"/>
          <w:lang w:val="lv-LV"/>
        </w:rPr>
        <w:t>.</w:t>
      </w:r>
      <w:r w:rsidR="007D7310" w:rsidRPr="00321CBD">
        <w:rPr>
          <w:rFonts w:ascii="Times New Roman" w:hAnsi="Times New Roman" w:cs="Times New Roman"/>
          <w:sz w:val="24"/>
          <w:szCs w:val="24"/>
          <w:lang w:val="lv-LV"/>
        </w:rPr>
        <w:t xml:space="preserve"> </w:t>
      </w:r>
      <w:r w:rsidR="00483987">
        <w:rPr>
          <w:rFonts w:ascii="Times New Roman" w:hAnsi="Times New Roman" w:cs="Times New Roman"/>
          <w:sz w:val="24"/>
          <w:szCs w:val="24"/>
          <w:lang w:val="lv-LV"/>
        </w:rPr>
        <w:t>L</w:t>
      </w:r>
      <w:r w:rsidR="007D7310" w:rsidRPr="00321CBD">
        <w:rPr>
          <w:rFonts w:ascii="Times New Roman" w:hAnsi="Times New Roman" w:cs="Times New Roman"/>
          <w:sz w:val="24"/>
          <w:szCs w:val="24"/>
          <w:lang w:val="lv-LV"/>
        </w:rPr>
        <w:t>ai raksturotu patoloģisku dzemdes as</w:t>
      </w:r>
      <w:r w:rsidR="007E7410" w:rsidRPr="00321CBD">
        <w:rPr>
          <w:rFonts w:ascii="Times New Roman" w:hAnsi="Times New Roman" w:cs="Times New Roman"/>
          <w:sz w:val="24"/>
          <w:szCs w:val="24"/>
          <w:lang w:val="lv-LV"/>
        </w:rPr>
        <w:t>i</w:t>
      </w:r>
      <w:r w:rsidR="007D7310" w:rsidRPr="00321CBD">
        <w:rPr>
          <w:rFonts w:ascii="Times New Roman" w:hAnsi="Times New Roman" w:cs="Times New Roman"/>
          <w:sz w:val="24"/>
          <w:szCs w:val="24"/>
          <w:lang w:val="lv-LV"/>
        </w:rPr>
        <w:t>ņošanu pasaulē tiek i</w:t>
      </w:r>
      <w:r w:rsidR="00421469" w:rsidRPr="00321CBD">
        <w:rPr>
          <w:rFonts w:ascii="Times New Roman" w:hAnsi="Times New Roman" w:cs="Times New Roman"/>
          <w:sz w:val="24"/>
          <w:szCs w:val="24"/>
          <w:lang w:val="lv-LV"/>
        </w:rPr>
        <w:t>zmantoti daudz</w:t>
      </w:r>
      <w:r w:rsidR="007E7410" w:rsidRPr="00321CBD">
        <w:rPr>
          <w:rFonts w:ascii="Times New Roman" w:hAnsi="Times New Roman" w:cs="Times New Roman"/>
          <w:sz w:val="24"/>
          <w:szCs w:val="24"/>
          <w:lang w:val="lv-LV"/>
        </w:rPr>
        <w:t>i</w:t>
      </w:r>
      <w:r w:rsidR="00421469" w:rsidRPr="00321CBD">
        <w:rPr>
          <w:rFonts w:ascii="Times New Roman" w:hAnsi="Times New Roman" w:cs="Times New Roman"/>
          <w:sz w:val="24"/>
          <w:szCs w:val="24"/>
          <w:lang w:val="lv-LV"/>
        </w:rPr>
        <w:t xml:space="preserve"> termini, kas apzīmē dažādas klīniskas situācijas. </w:t>
      </w:r>
      <w:r w:rsidR="007E7410" w:rsidRPr="00321CBD">
        <w:rPr>
          <w:rFonts w:ascii="Times New Roman" w:hAnsi="Times New Roman" w:cs="Times New Roman"/>
          <w:sz w:val="24"/>
          <w:szCs w:val="24"/>
          <w:lang w:val="lv-LV"/>
        </w:rPr>
        <w:t xml:space="preserve">Visbiežāk </w:t>
      </w:r>
      <w:r w:rsidR="00421469" w:rsidRPr="00321CBD">
        <w:rPr>
          <w:rFonts w:ascii="Times New Roman" w:hAnsi="Times New Roman" w:cs="Times New Roman"/>
          <w:sz w:val="24"/>
          <w:szCs w:val="24"/>
          <w:lang w:val="lv-LV"/>
        </w:rPr>
        <w:t xml:space="preserve">no </w:t>
      </w:r>
      <w:r w:rsidR="007E7410" w:rsidRPr="00321CBD">
        <w:rPr>
          <w:rFonts w:ascii="Times New Roman" w:hAnsi="Times New Roman" w:cs="Times New Roman"/>
          <w:sz w:val="24"/>
          <w:szCs w:val="24"/>
          <w:lang w:val="lv-LV"/>
        </w:rPr>
        <w:t xml:space="preserve">tiem </w:t>
      </w:r>
      <w:r w:rsidR="00421469" w:rsidRPr="00321CBD">
        <w:rPr>
          <w:rFonts w:ascii="Times New Roman" w:hAnsi="Times New Roman" w:cs="Times New Roman"/>
          <w:sz w:val="24"/>
          <w:szCs w:val="24"/>
          <w:lang w:val="lv-LV"/>
        </w:rPr>
        <w:t xml:space="preserve">tiek </w:t>
      </w:r>
      <w:r w:rsidR="007E7410" w:rsidRPr="00321CBD">
        <w:rPr>
          <w:rFonts w:ascii="Times New Roman" w:hAnsi="Times New Roman" w:cs="Times New Roman"/>
          <w:sz w:val="24"/>
          <w:szCs w:val="24"/>
          <w:lang w:val="lv-LV"/>
        </w:rPr>
        <w:t>lietoti</w:t>
      </w:r>
      <w:r w:rsidR="00421469" w:rsidRPr="00321CBD">
        <w:rPr>
          <w:rFonts w:ascii="Times New Roman" w:hAnsi="Times New Roman" w:cs="Times New Roman"/>
          <w:sz w:val="24"/>
          <w:szCs w:val="24"/>
          <w:lang w:val="lv-LV"/>
        </w:rPr>
        <w:t>:</w:t>
      </w:r>
    </w:p>
    <w:p w14:paraId="0ACC5B51" w14:textId="4ED7600A" w:rsidR="00A02E43" w:rsidRPr="00321CBD" w:rsidRDefault="00421469" w:rsidP="008A1720">
      <w:pPr>
        <w:pStyle w:val="ListParagraph"/>
        <w:numPr>
          <w:ilvl w:val="0"/>
          <w:numId w:val="5"/>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Menorrhagia (cit</w:t>
      </w:r>
      <w:r w:rsidR="00566787" w:rsidRPr="00321CBD">
        <w:rPr>
          <w:rFonts w:ascii="Times New Roman" w:hAnsi="Times New Roman" w:cs="Times New Roman"/>
          <w:sz w:val="24"/>
          <w:szCs w:val="24"/>
          <w:lang w:val="lv-LV"/>
        </w:rPr>
        <w:t>os</w:t>
      </w:r>
      <w:r w:rsidRPr="00321CBD">
        <w:rPr>
          <w:rFonts w:ascii="Times New Roman" w:hAnsi="Times New Roman" w:cs="Times New Roman"/>
          <w:sz w:val="24"/>
          <w:szCs w:val="24"/>
          <w:lang w:val="lv-LV"/>
        </w:rPr>
        <w:t xml:space="preserve"> </w:t>
      </w:r>
      <w:r w:rsidR="00566787" w:rsidRPr="00321CBD">
        <w:rPr>
          <w:rFonts w:ascii="Times New Roman" w:hAnsi="Times New Roman" w:cs="Times New Roman"/>
          <w:sz w:val="24"/>
          <w:szCs w:val="24"/>
          <w:lang w:val="lv-LV"/>
        </w:rPr>
        <w:t xml:space="preserve">avotos </w:t>
      </w:r>
      <w:r w:rsidR="00090782">
        <w:rPr>
          <w:rFonts w:ascii="Times New Roman" w:hAnsi="Times New Roman" w:cs="Times New Roman"/>
          <w:sz w:val="24"/>
          <w:szCs w:val="24"/>
          <w:lang w:val="lv-LV"/>
        </w:rPr>
        <w:t>hyperpolymenorrh</w:t>
      </w:r>
      <w:r w:rsidRPr="00321CBD">
        <w:rPr>
          <w:rFonts w:ascii="Times New Roman" w:hAnsi="Times New Roman" w:cs="Times New Roman"/>
          <w:sz w:val="24"/>
          <w:szCs w:val="24"/>
          <w:lang w:val="lv-LV"/>
        </w:rPr>
        <w:t xml:space="preserve">ea) </w:t>
      </w:r>
      <w:r w:rsidR="00A02E43"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A02E43" w:rsidRPr="00321CBD">
        <w:rPr>
          <w:rFonts w:ascii="Times New Roman" w:hAnsi="Times New Roman" w:cs="Times New Roman"/>
          <w:sz w:val="24"/>
          <w:szCs w:val="24"/>
          <w:lang w:val="lv-LV"/>
        </w:rPr>
        <w:t>pastiprinātas mēnešreizes, kuras ilgst vairāk par 7 dienām un kuru laikā asins zudums pārsniedz 80 ml</w:t>
      </w:r>
      <w:r w:rsidR="00566787" w:rsidRPr="00321CBD">
        <w:rPr>
          <w:rFonts w:ascii="Times New Roman" w:hAnsi="Times New Roman" w:cs="Times New Roman"/>
          <w:sz w:val="24"/>
          <w:szCs w:val="24"/>
          <w:lang w:val="lv-LV"/>
        </w:rPr>
        <w:t>.</w:t>
      </w:r>
    </w:p>
    <w:p w14:paraId="5CD7D963" w14:textId="69F6A84D" w:rsidR="00A02E43" w:rsidRPr="00321CBD" w:rsidRDefault="00A02E43" w:rsidP="008A1720">
      <w:pPr>
        <w:pStyle w:val="ListParagraph"/>
        <w:numPr>
          <w:ilvl w:val="0"/>
          <w:numId w:val="5"/>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Metrorrhagia – </w:t>
      </w:r>
      <w:r w:rsidR="00483987" w:rsidRPr="00321CBD">
        <w:rPr>
          <w:rFonts w:ascii="Times New Roman" w:hAnsi="Times New Roman" w:cs="Times New Roman"/>
          <w:sz w:val="24"/>
          <w:szCs w:val="24"/>
          <w:lang w:val="lv-LV"/>
        </w:rPr>
        <w:t xml:space="preserve">dažādas intensitātes </w:t>
      </w:r>
      <w:r w:rsidRPr="00321CBD">
        <w:rPr>
          <w:rFonts w:ascii="Times New Roman" w:hAnsi="Times New Roman" w:cs="Times New Roman"/>
          <w:sz w:val="24"/>
          <w:szCs w:val="24"/>
          <w:lang w:val="lv-LV"/>
        </w:rPr>
        <w:t>neregulāri asiņaini izdalījumi no dzimumceļiem, kas nav saistīti ar menstruālo ciklu.</w:t>
      </w:r>
    </w:p>
    <w:p w14:paraId="5FBB9630" w14:textId="3C8D559F" w:rsidR="00A02E43" w:rsidRPr="00321CBD" w:rsidRDefault="00A02E43" w:rsidP="008A1720">
      <w:pPr>
        <w:pStyle w:val="ListParagraph"/>
        <w:numPr>
          <w:ilvl w:val="0"/>
          <w:numId w:val="5"/>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Regulāri un neregulāri spotingi –</w:t>
      </w:r>
      <w:r w:rsidR="00483987">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nelieli </w:t>
      </w:r>
      <w:r w:rsidR="00483987" w:rsidRPr="00321CBD">
        <w:rPr>
          <w:rFonts w:ascii="Times New Roman" w:hAnsi="Times New Roman" w:cs="Times New Roman"/>
          <w:sz w:val="24"/>
          <w:szCs w:val="24"/>
          <w:lang w:val="lv-LV"/>
        </w:rPr>
        <w:t xml:space="preserve">starpmenstruāli </w:t>
      </w:r>
      <w:r w:rsidRPr="00321CBD">
        <w:rPr>
          <w:rFonts w:ascii="Times New Roman" w:hAnsi="Times New Roman" w:cs="Times New Roman"/>
          <w:sz w:val="24"/>
          <w:szCs w:val="24"/>
          <w:lang w:val="lv-LV"/>
        </w:rPr>
        <w:t xml:space="preserve">asiņaini izdalījumi, kam pamatā var būt gan hormonu svārstības, gan organiskas </w:t>
      </w:r>
      <w:r w:rsidR="00566787" w:rsidRPr="00321CBD">
        <w:rPr>
          <w:rFonts w:ascii="Times New Roman" w:hAnsi="Times New Roman" w:cs="Times New Roman"/>
          <w:sz w:val="24"/>
          <w:szCs w:val="24"/>
          <w:lang w:val="lv-LV"/>
        </w:rPr>
        <w:t>patoloģijas</w:t>
      </w:r>
      <w:r w:rsidRPr="00321CBD">
        <w:rPr>
          <w:rFonts w:ascii="Times New Roman" w:hAnsi="Times New Roman" w:cs="Times New Roman"/>
          <w:sz w:val="24"/>
          <w:szCs w:val="24"/>
          <w:lang w:val="lv-LV"/>
        </w:rPr>
        <w:t>, k</w:t>
      </w:r>
      <w:r w:rsidR="0018215F">
        <w:rPr>
          <w:rFonts w:ascii="Times New Roman" w:hAnsi="Times New Roman" w:cs="Times New Roman"/>
          <w:sz w:val="24"/>
          <w:szCs w:val="24"/>
          <w:lang w:val="lv-LV"/>
        </w:rPr>
        <w:t>am</w:t>
      </w:r>
      <w:r w:rsidRPr="00321CBD">
        <w:rPr>
          <w:rFonts w:ascii="Times New Roman" w:hAnsi="Times New Roman" w:cs="Times New Roman"/>
          <w:sz w:val="24"/>
          <w:szCs w:val="24"/>
          <w:lang w:val="lv-LV"/>
        </w:rPr>
        <w:t xml:space="preserve"> ir nepieciešama ārstēšana</w:t>
      </w:r>
      <w:r w:rsidR="00566787" w:rsidRPr="00321CBD">
        <w:rPr>
          <w:rFonts w:ascii="Times New Roman" w:hAnsi="Times New Roman" w:cs="Times New Roman"/>
          <w:sz w:val="24"/>
          <w:szCs w:val="24"/>
          <w:lang w:val="lv-LV"/>
        </w:rPr>
        <w:t>.</w:t>
      </w:r>
    </w:p>
    <w:p w14:paraId="3A7D8681" w14:textId="6F44C26D" w:rsidR="00421469" w:rsidRPr="00321CBD" w:rsidRDefault="00A02E43" w:rsidP="008A1720">
      <w:pPr>
        <w:pStyle w:val="ListParagraph"/>
        <w:numPr>
          <w:ilvl w:val="0"/>
          <w:numId w:val="5"/>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Disfunkcionāl</w:t>
      </w:r>
      <w:r w:rsidR="00566787" w:rsidRPr="00321CBD">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dzemdes asiņošana </w:t>
      </w:r>
      <w:r w:rsidR="007146C7"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7146C7" w:rsidRPr="00321CBD">
        <w:rPr>
          <w:rFonts w:ascii="Times New Roman" w:hAnsi="Times New Roman" w:cs="Times New Roman"/>
          <w:sz w:val="24"/>
          <w:szCs w:val="24"/>
          <w:lang w:val="lv-LV"/>
        </w:rPr>
        <w:t>asiņaini izdalījumi no dzimumceļiem, kad organisku ģenitālu vai ekstra</w:t>
      </w:r>
      <w:r w:rsidR="00566787" w:rsidRPr="00321CBD">
        <w:rPr>
          <w:rFonts w:ascii="Times New Roman" w:hAnsi="Times New Roman" w:cs="Times New Roman"/>
          <w:sz w:val="24"/>
          <w:szCs w:val="24"/>
          <w:lang w:val="lv-LV"/>
        </w:rPr>
        <w:t>ģ</w:t>
      </w:r>
      <w:r w:rsidR="007146C7" w:rsidRPr="00321CBD">
        <w:rPr>
          <w:rFonts w:ascii="Times New Roman" w:hAnsi="Times New Roman" w:cs="Times New Roman"/>
          <w:sz w:val="24"/>
          <w:szCs w:val="24"/>
          <w:lang w:val="lv-LV"/>
        </w:rPr>
        <w:t>enit</w:t>
      </w:r>
      <w:r w:rsidR="00566787" w:rsidRPr="00321CBD">
        <w:rPr>
          <w:rFonts w:ascii="Times New Roman" w:hAnsi="Times New Roman" w:cs="Times New Roman"/>
          <w:sz w:val="24"/>
          <w:szCs w:val="24"/>
          <w:lang w:val="lv-LV"/>
        </w:rPr>
        <w:t>ā</w:t>
      </w:r>
      <w:r w:rsidR="007146C7" w:rsidRPr="00321CBD">
        <w:rPr>
          <w:rFonts w:ascii="Times New Roman" w:hAnsi="Times New Roman" w:cs="Times New Roman"/>
          <w:sz w:val="24"/>
          <w:szCs w:val="24"/>
          <w:lang w:val="lv-LV"/>
        </w:rPr>
        <w:t>lu patoloģiju atrast neizdodas. Tā visbiežāk ir saistīta ar dzimumhormonu disk</w:t>
      </w:r>
      <w:r w:rsidR="00566787" w:rsidRPr="00321CBD">
        <w:rPr>
          <w:rFonts w:ascii="Times New Roman" w:hAnsi="Times New Roman" w:cs="Times New Roman"/>
          <w:sz w:val="24"/>
          <w:szCs w:val="24"/>
          <w:lang w:val="lv-LV"/>
        </w:rPr>
        <w:t>o</w:t>
      </w:r>
      <w:r w:rsidR="00193B66">
        <w:rPr>
          <w:rFonts w:ascii="Times New Roman" w:hAnsi="Times New Roman" w:cs="Times New Roman"/>
          <w:sz w:val="24"/>
          <w:szCs w:val="24"/>
          <w:lang w:val="lv-LV"/>
        </w:rPr>
        <w:t>ordinētu darbību</w:t>
      </w:r>
      <w:r w:rsidR="00193B66" w:rsidRPr="00193B66">
        <w:rPr>
          <w:rFonts w:ascii="Times New Roman" w:hAnsi="Times New Roman" w:cs="Times New Roman"/>
          <w:sz w:val="24"/>
          <w:szCs w:val="24"/>
          <w:vertAlign w:val="superscript"/>
          <w:lang w:val="lv-LV"/>
        </w:rPr>
        <w:t>5</w:t>
      </w:r>
      <w:r w:rsidR="00193B66">
        <w:rPr>
          <w:rFonts w:ascii="Times New Roman" w:hAnsi="Times New Roman" w:cs="Times New Roman"/>
          <w:sz w:val="24"/>
          <w:szCs w:val="24"/>
          <w:lang w:val="lv-LV"/>
        </w:rPr>
        <w:t>.</w:t>
      </w:r>
    </w:p>
    <w:p w14:paraId="7C9DDF3F" w14:textId="6D1BFC8D" w:rsidR="007146C7" w:rsidRPr="00321CBD" w:rsidRDefault="007D208D" w:rsidP="008A1720">
      <w:pPr>
        <w:spacing w:line="360" w:lineRule="auto"/>
        <w:ind w:firstLine="36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Visi šie termini atspoguļo </w:t>
      </w:r>
      <w:r w:rsidR="001F71C5" w:rsidRPr="00321CBD">
        <w:rPr>
          <w:rFonts w:ascii="Times New Roman" w:hAnsi="Times New Roman" w:cs="Times New Roman"/>
          <w:sz w:val="24"/>
          <w:szCs w:val="24"/>
          <w:lang w:val="lv-LV"/>
        </w:rPr>
        <w:t xml:space="preserve">tikai sūdzības būtību, bet neatspoguļo sūdzības iemeslu. </w:t>
      </w:r>
      <w:r w:rsidR="00412DE4" w:rsidRPr="00193B66">
        <w:rPr>
          <w:rFonts w:ascii="Times New Roman" w:hAnsi="Times New Roman" w:cs="Times New Roman"/>
          <w:sz w:val="24"/>
          <w:szCs w:val="24"/>
          <w:lang w:val="lv-LV"/>
        </w:rPr>
        <w:t>I</w:t>
      </w:r>
      <w:r w:rsidR="001F71C5" w:rsidRPr="00193B66">
        <w:rPr>
          <w:rFonts w:ascii="Times New Roman" w:hAnsi="Times New Roman" w:cs="Times New Roman"/>
          <w:sz w:val="24"/>
          <w:szCs w:val="24"/>
          <w:lang w:val="lv-LV"/>
        </w:rPr>
        <w:t xml:space="preserve">zmantojot šos terminus ir ļoti </w:t>
      </w:r>
      <w:r w:rsidR="00566787" w:rsidRPr="00193B66">
        <w:rPr>
          <w:rFonts w:ascii="Times New Roman" w:hAnsi="Times New Roman" w:cs="Times New Roman"/>
          <w:sz w:val="24"/>
          <w:szCs w:val="24"/>
          <w:lang w:val="lv-LV"/>
        </w:rPr>
        <w:t>grūti</w:t>
      </w:r>
      <w:r w:rsidR="001F71C5" w:rsidRPr="00193B66">
        <w:rPr>
          <w:rFonts w:ascii="Times New Roman" w:hAnsi="Times New Roman" w:cs="Times New Roman"/>
          <w:sz w:val="24"/>
          <w:szCs w:val="24"/>
          <w:lang w:val="lv-LV"/>
        </w:rPr>
        <w:t xml:space="preserve"> saprast, ko </w:t>
      </w:r>
      <w:r w:rsidR="00566787" w:rsidRPr="00193B66">
        <w:rPr>
          <w:rFonts w:ascii="Times New Roman" w:hAnsi="Times New Roman" w:cs="Times New Roman"/>
          <w:sz w:val="24"/>
          <w:szCs w:val="24"/>
          <w:lang w:val="lv-LV"/>
        </w:rPr>
        <w:t>tieši</w:t>
      </w:r>
      <w:r w:rsidR="00E83A44" w:rsidRPr="00193B66">
        <w:rPr>
          <w:rFonts w:ascii="Times New Roman" w:hAnsi="Times New Roman" w:cs="Times New Roman"/>
          <w:sz w:val="24"/>
          <w:szCs w:val="24"/>
          <w:lang w:val="lv-LV"/>
        </w:rPr>
        <w:t xml:space="preserve"> ārsts gribējis ar to pateikt, </w:t>
      </w:r>
      <w:r w:rsidR="00566787" w:rsidRPr="00193B66">
        <w:rPr>
          <w:rFonts w:ascii="Times New Roman" w:hAnsi="Times New Roman" w:cs="Times New Roman"/>
          <w:sz w:val="24"/>
          <w:szCs w:val="24"/>
          <w:lang w:val="lv-LV"/>
        </w:rPr>
        <w:t>īpaši</w:t>
      </w:r>
      <w:r w:rsidR="00E83A44" w:rsidRPr="00193B66">
        <w:rPr>
          <w:rFonts w:ascii="Times New Roman" w:hAnsi="Times New Roman" w:cs="Times New Roman"/>
          <w:sz w:val="24"/>
          <w:szCs w:val="24"/>
          <w:lang w:val="lv-LV"/>
        </w:rPr>
        <w:t>, ja tie tiek izmantoti pētījumos.</w:t>
      </w:r>
      <w:r w:rsidR="009A5DB2" w:rsidRPr="00321CBD">
        <w:rPr>
          <w:rFonts w:ascii="Times New Roman" w:hAnsi="Times New Roman" w:cs="Times New Roman"/>
          <w:sz w:val="24"/>
          <w:szCs w:val="24"/>
          <w:lang w:val="lv-LV"/>
        </w:rPr>
        <w:t xml:space="preserve"> Tādēļ 2011.gadā FIGO (</w:t>
      </w:r>
      <w:r w:rsidR="005977D6" w:rsidRPr="00321CBD">
        <w:rPr>
          <w:rFonts w:ascii="Times New Roman" w:hAnsi="Times New Roman" w:cs="Times New Roman"/>
          <w:sz w:val="24"/>
          <w:szCs w:val="24"/>
          <w:lang w:val="lv-LV"/>
        </w:rPr>
        <w:t>International Federation of Obstetrics and Gynecology</w:t>
      </w:r>
      <w:r w:rsidR="009A5DB2" w:rsidRPr="00321CBD">
        <w:rPr>
          <w:rFonts w:ascii="Times New Roman" w:hAnsi="Times New Roman" w:cs="Times New Roman"/>
          <w:sz w:val="24"/>
          <w:szCs w:val="24"/>
          <w:lang w:val="lv-LV"/>
        </w:rPr>
        <w:t>)</w:t>
      </w:r>
      <w:r w:rsidR="005977D6" w:rsidRPr="00321CBD">
        <w:rPr>
          <w:rFonts w:ascii="Times New Roman" w:hAnsi="Times New Roman" w:cs="Times New Roman"/>
          <w:sz w:val="24"/>
          <w:szCs w:val="24"/>
          <w:lang w:val="lv-LV"/>
        </w:rPr>
        <w:t xml:space="preserve"> pēc ilgām diskusijām piedāvāja jaunu </w:t>
      </w:r>
      <w:r w:rsidR="001538AA" w:rsidRPr="00321CBD">
        <w:rPr>
          <w:rFonts w:ascii="Times New Roman" w:hAnsi="Times New Roman" w:cs="Times New Roman"/>
          <w:sz w:val="24"/>
          <w:szCs w:val="24"/>
          <w:lang w:val="lv-LV"/>
        </w:rPr>
        <w:t xml:space="preserve">patoloģiskās dzemdes asiņošanas klasifikāciju, kas ir balstīta </w:t>
      </w:r>
      <w:r w:rsidR="001538AA" w:rsidRPr="00321CBD">
        <w:rPr>
          <w:rFonts w:ascii="Times New Roman" w:hAnsi="Times New Roman" w:cs="Times New Roman"/>
          <w:sz w:val="24"/>
          <w:szCs w:val="24"/>
          <w:lang w:val="lv-LV"/>
        </w:rPr>
        <w:lastRenderedPageBreak/>
        <w:t>tieši uz izsaucējfaktor</w:t>
      </w:r>
      <w:r w:rsidR="00412DE4">
        <w:rPr>
          <w:rFonts w:ascii="Times New Roman" w:hAnsi="Times New Roman" w:cs="Times New Roman"/>
          <w:sz w:val="24"/>
          <w:szCs w:val="24"/>
          <w:lang w:val="lv-LV"/>
        </w:rPr>
        <w:t>u</w:t>
      </w:r>
      <w:r w:rsidR="001538AA" w:rsidRPr="00321CBD">
        <w:rPr>
          <w:rFonts w:ascii="Times New Roman" w:hAnsi="Times New Roman" w:cs="Times New Roman"/>
          <w:sz w:val="24"/>
          <w:szCs w:val="24"/>
          <w:lang w:val="lv-LV"/>
        </w:rPr>
        <w:t xml:space="preserve"> un asiņošanas laik</w:t>
      </w:r>
      <w:r w:rsidR="00412DE4">
        <w:rPr>
          <w:rFonts w:ascii="Times New Roman" w:hAnsi="Times New Roman" w:cs="Times New Roman"/>
          <w:sz w:val="24"/>
          <w:szCs w:val="24"/>
          <w:lang w:val="lv-LV"/>
        </w:rPr>
        <w:t>u</w:t>
      </w:r>
      <w:r w:rsidR="001538AA" w:rsidRPr="00321CBD">
        <w:rPr>
          <w:rFonts w:ascii="Times New Roman" w:hAnsi="Times New Roman" w:cs="Times New Roman"/>
          <w:sz w:val="24"/>
          <w:szCs w:val="24"/>
          <w:lang w:val="lv-LV"/>
        </w:rPr>
        <w:t xml:space="preserve">. </w:t>
      </w:r>
      <w:r w:rsidR="00D727E7" w:rsidRPr="00321CBD">
        <w:rPr>
          <w:rFonts w:ascii="Times New Roman" w:hAnsi="Times New Roman" w:cs="Times New Roman"/>
          <w:sz w:val="24"/>
          <w:szCs w:val="24"/>
          <w:lang w:val="lv-LV"/>
        </w:rPr>
        <w:t xml:space="preserve">Šai </w:t>
      </w:r>
      <w:r w:rsidR="00566787" w:rsidRPr="00321CBD">
        <w:rPr>
          <w:rFonts w:ascii="Times New Roman" w:hAnsi="Times New Roman" w:cs="Times New Roman"/>
          <w:sz w:val="24"/>
          <w:szCs w:val="24"/>
          <w:lang w:val="lv-LV"/>
        </w:rPr>
        <w:t>klasifikācijai</w:t>
      </w:r>
      <w:r w:rsidR="00D727E7" w:rsidRPr="00321CBD">
        <w:rPr>
          <w:rFonts w:ascii="Times New Roman" w:hAnsi="Times New Roman" w:cs="Times New Roman"/>
          <w:sz w:val="24"/>
          <w:szCs w:val="24"/>
          <w:lang w:val="lv-LV"/>
        </w:rPr>
        <w:t xml:space="preserve"> piemīt </w:t>
      </w:r>
      <w:r w:rsidR="00412DE4" w:rsidRPr="00321CBD">
        <w:rPr>
          <w:rFonts w:ascii="Times New Roman" w:hAnsi="Times New Roman" w:cs="Times New Roman"/>
          <w:sz w:val="24"/>
          <w:szCs w:val="24"/>
          <w:lang w:val="lv-LV"/>
        </w:rPr>
        <w:t>akronīms</w:t>
      </w:r>
      <w:r w:rsidR="00D727E7" w:rsidRPr="00321CBD">
        <w:rPr>
          <w:rFonts w:ascii="Times New Roman" w:hAnsi="Times New Roman" w:cs="Times New Roman"/>
          <w:sz w:val="24"/>
          <w:szCs w:val="24"/>
          <w:lang w:val="lv-LV"/>
        </w:rPr>
        <w:t xml:space="preserve"> PALM </w:t>
      </w:r>
      <w:r w:rsidR="008B1A79">
        <w:rPr>
          <w:rFonts w:ascii="Times New Roman" w:hAnsi="Times New Roman" w:cs="Times New Roman"/>
          <w:sz w:val="24"/>
          <w:szCs w:val="24"/>
          <w:lang w:val="lv-LV"/>
        </w:rPr>
        <w:t>– COEIN, kas sadala</w:t>
      </w:r>
      <w:r w:rsidR="00D727E7" w:rsidRPr="00321CBD">
        <w:rPr>
          <w:rFonts w:ascii="Times New Roman" w:hAnsi="Times New Roman" w:cs="Times New Roman"/>
          <w:sz w:val="24"/>
          <w:szCs w:val="24"/>
          <w:lang w:val="lv-LV"/>
        </w:rPr>
        <w:t xml:space="preserve"> asiņošanas iemeslus </w:t>
      </w:r>
      <w:r w:rsidR="006F2210" w:rsidRPr="00321CBD">
        <w:rPr>
          <w:rFonts w:ascii="Times New Roman" w:hAnsi="Times New Roman" w:cs="Times New Roman"/>
          <w:sz w:val="24"/>
          <w:szCs w:val="24"/>
          <w:lang w:val="lv-LV"/>
        </w:rPr>
        <w:t>strukturālās</w:t>
      </w:r>
      <w:r w:rsidR="00D727E7" w:rsidRPr="00321CBD">
        <w:rPr>
          <w:rFonts w:ascii="Times New Roman" w:hAnsi="Times New Roman" w:cs="Times New Roman"/>
          <w:sz w:val="24"/>
          <w:szCs w:val="24"/>
          <w:lang w:val="lv-LV"/>
        </w:rPr>
        <w:t xml:space="preserve"> patoloģijās,</w:t>
      </w:r>
      <w:r w:rsidR="00566787" w:rsidRPr="00321CBD">
        <w:rPr>
          <w:rFonts w:ascii="Times New Roman" w:hAnsi="Times New Roman" w:cs="Times New Roman"/>
          <w:sz w:val="24"/>
          <w:szCs w:val="24"/>
          <w:lang w:val="lv-LV"/>
        </w:rPr>
        <w:t xml:space="preserve"> </w:t>
      </w:r>
      <w:r w:rsidR="00D727E7" w:rsidRPr="00321CBD">
        <w:rPr>
          <w:rFonts w:ascii="Times New Roman" w:hAnsi="Times New Roman" w:cs="Times New Roman"/>
          <w:sz w:val="24"/>
          <w:szCs w:val="24"/>
          <w:lang w:val="lv-LV"/>
        </w:rPr>
        <w:t>k</w:t>
      </w:r>
      <w:r w:rsidR="008B1A79">
        <w:rPr>
          <w:rFonts w:ascii="Times New Roman" w:hAnsi="Times New Roman" w:cs="Times New Roman"/>
          <w:sz w:val="24"/>
          <w:szCs w:val="24"/>
          <w:lang w:val="lv-LV"/>
        </w:rPr>
        <w:t>ur</w:t>
      </w:r>
      <w:r w:rsidR="00D727E7" w:rsidRPr="00321CBD">
        <w:rPr>
          <w:rFonts w:ascii="Times New Roman" w:hAnsi="Times New Roman" w:cs="Times New Roman"/>
          <w:sz w:val="24"/>
          <w:szCs w:val="24"/>
          <w:lang w:val="lv-LV"/>
        </w:rPr>
        <w:t>as var diagnosticēt izmeklējot dzemdi</w:t>
      </w:r>
      <w:r w:rsidR="00566787" w:rsidRPr="00321CBD">
        <w:rPr>
          <w:rFonts w:ascii="Times New Roman" w:hAnsi="Times New Roman" w:cs="Times New Roman"/>
          <w:sz w:val="24"/>
          <w:szCs w:val="24"/>
          <w:lang w:val="lv-LV"/>
        </w:rPr>
        <w:t>,</w:t>
      </w:r>
      <w:r w:rsidR="00D727E7" w:rsidRPr="00321CBD">
        <w:rPr>
          <w:rFonts w:ascii="Times New Roman" w:hAnsi="Times New Roman" w:cs="Times New Roman"/>
          <w:sz w:val="24"/>
          <w:szCs w:val="24"/>
          <w:lang w:val="lv-LV"/>
        </w:rPr>
        <w:t xml:space="preserve"> un </w:t>
      </w:r>
      <w:r w:rsidR="00C804FB" w:rsidRPr="00321CBD">
        <w:rPr>
          <w:rFonts w:ascii="Times New Roman" w:hAnsi="Times New Roman" w:cs="Times New Roman"/>
          <w:sz w:val="24"/>
          <w:szCs w:val="24"/>
          <w:lang w:val="lv-LV"/>
        </w:rPr>
        <w:t>patoloģij</w:t>
      </w:r>
      <w:r w:rsidR="00566787" w:rsidRPr="00321CBD">
        <w:rPr>
          <w:rFonts w:ascii="Times New Roman" w:hAnsi="Times New Roman" w:cs="Times New Roman"/>
          <w:sz w:val="24"/>
          <w:szCs w:val="24"/>
          <w:lang w:val="lv-LV"/>
        </w:rPr>
        <w:t>ā</w:t>
      </w:r>
      <w:r w:rsidR="00C804FB" w:rsidRPr="00321CBD">
        <w:rPr>
          <w:rFonts w:ascii="Times New Roman" w:hAnsi="Times New Roman" w:cs="Times New Roman"/>
          <w:sz w:val="24"/>
          <w:szCs w:val="24"/>
          <w:lang w:val="lv-LV"/>
        </w:rPr>
        <w:t>s</w:t>
      </w:r>
      <w:r w:rsidR="00566787" w:rsidRPr="00321CBD">
        <w:rPr>
          <w:rFonts w:ascii="Times New Roman" w:hAnsi="Times New Roman" w:cs="Times New Roman"/>
          <w:sz w:val="24"/>
          <w:szCs w:val="24"/>
          <w:lang w:val="lv-LV"/>
        </w:rPr>
        <w:t>,</w:t>
      </w:r>
      <w:r w:rsidR="00C804FB" w:rsidRPr="00321CBD">
        <w:rPr>
          <w:rFonts w:ascii="Times New Roman" w:hAnsi="Times New Roman" w:cs="Times New Roman"/>
          <w:sz w:val="24"/>
          <w:szCs w:val="24"/>
          <w:lang w:val="lv-LV"/>
        </w:rPr>
        <w:t xml:space="preserve"> kas </w:t>
      </w:r>
      <w:r w:rsidR="00566787" w:rsidRPr="00321CBD">
        <w:rPr>
          <w:rFonts w:ascii="Times New Roman" w:hAnsi="Times New Roman" w:cs="Times New Roman"/>
          <w:sz w:val="24"/>
          <w:szCs w:val="24"/>
          <w:lang w:val="lv-LV"/>
        </w:rPr>
        <w:t xml:space="preserve">nav saistītas </w:t>
      </w:r>
      <w:r w:rsidR="00C804FB" w:rsidRPr="00321CBD">
        <w:rPr>
          <w:rFonts w:ascii="Times New Roman" w:hAnsi="Times New Roman" w:cs="Times New Roman"/>
          <w:sz w:val="24"/>
          <w:szCs w:val="24"/>
          <w:lang w:val="lv-LV"/>
        </w:rPr>
        <w:t>ar dzemdes veseluma izmaiņām.</w:t>
      </w:r>
      <w:r w:rsidR="007C17A8" w:rsidRPr="00321CBD">
        <w:rPr>
          <w:rFonts w:ascii="Times New Roman" w:hAnsi="Times New Roman" w:cs="Times New Roman"/>
          <w:sz w:val="24"/>
          <w:szCs w:val="24"/>
          <w:lang w:val="lv-LV"/>
        </w:rPr>
        <w:t xml:space="preserve"> </w:t>
      </w:r>
    </w:p>
    <w:p w14:paraId="4F8A72AA" w14:textId="39411822" w:rsidR="007C17A8" w:rsidRPr="00321CBD" w:rsidRDefault="00193B66" w:rsidP="008A1720">
      <w:pPr>
        <w:spacing w:line="360" w:lineRule="auto"/>
        <w:jc w:val="both"/>
        <w:rPr>
          <w:rFonts w:ascii="Times New Roman" w:hAnsi="Times New Roman" w:cs="Times New Roman"/>
          <w:sz w:val="24"/>
          <w:szCs w:val="24"/>
          <w:lang w:val="lv-LV"/>
        </w:rPr>
      </w:pPr>
      <w:r w:rsidRPr="00193B66">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F784BDF" wp14:editId="49407F39">
                <wp:simplePos x="0" y="0"/>
                <wp:positionH relativeFrom="column">
                  <wp:posOffset>1509</wp:posOffset>
                </wp:positionH>
                <wp:positionV relativeFrom="paragraph">
                  <wp:posOffset>3107937</wp:posOffset>
                </wp:positionV>
                <wp:extent cx="5985163" cy="380010"/>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163" cy="380010"/>
                        </a:xfrm>
                        <a:prstGeom prst="rect">
                          <a:avLst/>
                        </a:prstGeom>
                        <a:solidFill>
                          <a:srgbClr val="FFFFFF"/>
                        </a:solidFill>
                        <a:ln w="9525">
                          <a:noFill/>
                          <a:miter lim="800000"/>
                          <a:headEnd/>
                          <a:tailEnd/>
                        </a:ln>
                      </wps:spPr>
                      <wps:txbx>
                        <w:txbxContent>
                          <w:p w14:paraId="3D1088D8" w14:textId="33B91389" w:rsidR="00090782" w:rsidRDefault="00090782" w:rsidP="00A37A76">
                            <w:pPr>
                              <w:pBdr>
                                <w:top w:val="single" w:sz="4" w:space="1" w:color="auto"/>
                              </w:pBdr>
                            </w:pPr>
                            <w:r>
                              <w:rPr>
                                <w:rFonts w:ascii="Times New Roman" w:hAnsi="Times New Roman" w:cs="Times New Roman"/>
                                <w:i/>
                                <w:sz w:val="24"/>
                                <w:szCs w:val="24"/>
                              </w:rPr>
                              <w:t xml:space="preserve">PALM – COEIN </w:t>
                            </w:r>
                            <w:r>
                              <w:rPr>
                                <w:rFonts w:ascii="Times New Roman" w:hAnsi="Times New Roman" w:cs="Times New Roman"/>
                                <w:sz w:val="24"/>
                                <w:szCs w:val="24"/>
                              </w:rPr>
                              <w:t>klassifikācija</w:t>
                            </w:r>
                            <w:r w:rsidRPr="002C5C7A">
                              <w:rPr>
                                <w:rFonts w:ascii="Times New Roman" w:hAnsi="Times New Roman" w:cs="Times New Roman"/>
                                <w:sz w:val="24"/>
                                <w:szCs w:val="24"/>
                                <w:vertAlign w:val="superscript"/>
                              </w:rPr>
                              <w:t xml:space="preserve"> 5</w:t>
                            </w:r>
                            <w:r>
                              <w:rPr>
                                <w:rFonts w:ascii="Times New Roman" w:hAnsi="Times New Roman" w:cs="Times New Roman"/>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244.7pt;width:471.25pt;height:2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" stroked="f">
                <v:textbox>
                  <w:txbxContent>
                    <w:p w14:paraId="3D1088D8" w14:textId="33B91389" w:rsidR="00C717B0" w:rsidRDefault="00C717B0" w:rsidP="00A37A76">
                      <w:pPr>
                        <w:pBdr>
                          <w:top w:val="single" w:sz="4" w:space="1" w:color="auto"/>
                        </w:pBdr>
                      </w:pPr>
                      <w:r>
                        <w:rPr>
                          <w:rFonts w:ascii="Times New Roman" w:hAnsi="Times New Roman" w:cs="Times New Roman"/>
                          <w:i/>
                          <w:sz w:val="24"/>
                          <w:szCs w:val="24"/>
                        </w:rPr>
                        <w:t xml:space="preserve">PALM – COEIN </w:t>
                      </w:r>
                      <w:r>
                        <w:rPr>
                          <w:rFonts w:ascii="Times New Roman" w:hAnsi="Times New Roman" w:cs="Times New Roman"/>
                          <w:sz w:val="24"/>
                          <w:szCs w:val="24"/>
                        </w:rPr>
                        <w:t>klassifikācija</w:t>
                      </w:r>
                      <w:r w:rsidRPr="002C5C7A">
                        <w:rPr>
                          <w:rFonts w:ascii="Times New Roman" w:hAnsi="Times New Roman" w:cs="Times New Roman"/>
                          <w:sz w:val="24"/>
                          <w:szCs w:val="24"/>
                          <w:vertAlign w:val="superscript"/>
                        </w:rPr>
                        <w:t xml:space="preserve"> 5</w:t>
                      </w:r>
                      <w:r>
                        <w:rPr>
                          <w:rFonts w:ascii="Times New Roman" w:hAnsi="Times New Roman" w:cs="Times New Roman"/>
                          <w:sz w:val="24"/>
                          <w:szCs w:val="24"/>
                        </w:rPr>
                        <w:t xml:space="preserve"> </w:t>
                      </w:r>
                    </w:p>
                  </w:txbxContent>
                </v:textbox>
              </v:shape>
            </w:pict>
          </mc:Fallback>
        </mc:AlternateContent>
      </w:r>
      <w:r w:rsidR="00E43FE0" w:rsidRPr="00321CBD">
        <w:rPr>
          <w:rFonts w:ascii="Times New Roman" w:hAnsi="Times New Roman" w:cs="Times New Roman"/>
          <w:noProof/>
          <w:sz w:val="24"/>
          <w:szCs w:val="24"/>
        </w:rPr>
        <w:drawing>
          <wp:inline distT="0" distB="0" distL="0" distR="0" wp14:anchorId="54F25C7F" wp14:editId="70D34F52">
            <wp:extent cx="6197961" cy="3111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7944" cy="3111327"/>
                    </a:xfrm>
                    <a:prstGeom prst="rect">
                      <a:avLst/>
                    </a:prstGeom>
                    <a:noFill/>
                    <a:ln>
                      <a:noFill/>
                    </a:ln>
                  </pic:spPr>
                </pic:pic>
              </a:graphicData>
            </a:graphic>
          </wp:inline>
        </w:drawing>
      </w:r>
    </w:p>
    <w:p w14:paraId="363369EF" w14:textId="3E435C84" w:rsidR="00193B66" w:rsidRDefault="00193B66" w:rsidP="008A1720">
      <w:pPr>
        <w:spacing w:line="360" w:lineRule="auto"/>
        <w:ind w:firstLine="720"/>
        <w:jc w:val="both"/>
        <w:rPr>
          <w:rFonts w:ascii="Times New Roman" w:hAnsi="Times New Roman" w:cs="Times New Roman"/>
          <w:sz w:val="24"/>
          <w:szCs w:val="24"/>
          <w:lang w:val="lv-LV"/>
        </w:rPr>
      </w:pPr>
    </w:p>
    <w:p w14:paraId="0D5DCA7D" w14:textId="0B3D4CB1" w:rsidR="007C17A8" w:rsidRPr="00321CBD" w:rsidRDefault="00412DE4" w:rsidP="008A1720">
      <w:pPr>
        <w:spacing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007C25AF" w:rsidRPr="00321CBD">
        <w:rPr>
          <w:rFonts w:ascii="Times New Roman" w:hAnsi="Times New Roman" w:cs="Times New Roman"/>
          <w:sz w:val="24"/>
          <w:szCs w:val="24"/>
          <w:lang w:val="lv-LV"/>
        </w:rPr>
        <w:t>lasifikācijas</w:t>
      </w:r>
      <w:r w:rsidR="007677EE" w:rsidRPr="00321CBD">
        <w:rPr>
          <w:rFonts w:ascii="Times New Roman" w:hAnsi="Times New Roman" w:cs="Times New Roman"/>
          <w:sz w:val="24"/>
          <w:szCs w:val="24"/>
          <w:lang w:val="lv-LV"/>
        </w:rPr>
        <w:t xml:space="preserve"> veidotāji </w:t>
      </w:r>
      <w:r>
        <w:rPr>
          <w:rFonts w:ascii="Times New Roman" w:hAnsi="Times New Roman" w:cs="Times New Roman"/>
          <w:sz w:val="24"/>
          <w:szCs w:val="24"/>
          <w:lang w:val="lv-LV"/>
        </w:rPr>
        <w:t>iz</w:t>
      </w:r>
      <w:r w:rsidR="007677EE" w:rsidRPr="00321CBD">
        <w:rPr>
          <w:rFonts w:ascii="Times New Roman" w:hAnsi="Times New Roman" w:cs="Times New Roman"/>
          <w:sz w:val="24"/>
          <w:szCs w:val="24"/>
          <w:lang w:val="lv-LV"/>
        </w:rPr>
        <w:t>dalīja</w:t>
      </w:r>
      <w:r w:rsidR="007C17A8" w:rsidRPr="00321CBD">
        <w:rPr>
          <w:rFonts w:ascii="Times New Roman" w:hAnsi="Times New Roman" w:cs="Times New Roman"/>
          <w:sz w:val="24"/>
          <w:szCs w:val="24"/>
          <w:lang w:val="lv-LV"/>
        </w:rPr>
        <w:t xml:space="preserve"> patoloģi</w:t>
      </w:r>
      <w:r w:rsidR="00922B9D" w:rsidRPr="00321CBD">
        <w:rPr>
          <w:rFonts w:ascii="Times New Roman" w:hAnsi="Times New Roman" w:cs="Times New Roman"/>
          <w:sz w:val="24"/>
          <w:szCs w:val="24"/>
          <w:lang w:val="lv-LV"/>
        </w:rPr>
        <w:t>sk</w:t>
      </w:r>
      <w:r w:rsidR="007C25AF" w:rsidRPr="00321CBD">
        <w:rPr>
          <w:rFonts w:ascii="Times New Roman" w:hAnsi="Times New Roman" w:cs="Times New Roman"/>
          <w:sz w:val="24"/>
          <w:szCs w:val="24"/>
          <w:lang w:val="lv-LV"/>
        </w:rPr>
        <w:t>o</w:t>
      </w:r>
      <w:r w:rsidR="00922B9D" w:rsidRPr="00321CBD">
        <w:rPr>
          <w:rFonts w:ascii="Times New Roman" w:hAnsi="Times New Roman" w:cs="Times New Roman"/>
          <w:sz w:val="24"/>
          <w:szCs w:val="24"/>
          <w:lang w:val="lv-LV"/>
        </w:rPr>
        <w:t xml:space="preserve"> dzemdes asiņošanu </w:t>
      </w:r>
      <w:r w:rsidR="007C25AF" w:rsidRPr="00321CBD">
        <w:rPr>
          <w:rFonts w:ascii="Times New Roman" w:hAnsi="Times New Roman" w:cs="Times New Roman"/>
          <w:sz w:val="24"/>
          <w:szCs w:val="24"/>
          <w:lang w:val="lv-LV"/>
        </w:rPr>
        <w:t>akūtajā</w:t>
      </w:r>
      <w:r w:rsidR="00922B9D" w:rsidRPr="00321CBD">
        <w:rPr>
          <w:rFonts w:ascii="Times New Roman" w:hAnsi="Times New Roman" w:cs="Times New Roman"/>
          <w:sz w:val="24"/>
          <w:szCs w:val="24"/>
          <w:lang w:val="lv-LV"/>
        </w:rPr>
        <w:t>,</w:t>
      </w:r>
      <w:r w:rsidR="007C17A8" w:rsidRPr="00321CBD">
        <w:rPr>
          <w:rFonts w:ascii="Times New Roman" w:hAnsi="Times New Roman" w:cs="Times New Roman"/>
          <w:sz w:val="24"/>
          <w:szCs w:val="24"/>
          <w:lang w:val="lv-LV"/>
        </w:rPr>
        <w:t xml:space="preserve"> hroniskajā</w:t>
      </w:r>
      <w:r w:rsidR="00922B9D" w:rsidRPr="00321CBD">
        <w:rPr>
          <w:rFonts w:ascii="Times New Roman" w:hAnsi="Times New Roman" w:cs="Times New Roman"/>
          <w:sz w:val="24"/>
          <w:szCs w:val="24"/>
          <w:lang w:val="lv-LV"/>
        </w:rPr>
        <w:t xml:space="preserve"> un starpmenstruāl</w:t>
      </w:r>
      <w:r w:rsidR="007C25AF" w:rsidRPr="00321CBD">
        <w:rPr>
          <w:rFonts w:ascii="Times New Roman" w:hAnsi="Times New Roman" w:cs="Times New Roman"/>
          <w:sz w:val="24"/>
          <w:szCs w:val="24"/>
          <w:lang w:val="lv-LV"/>
        </w:rPr>
        <w:t>aj</w:t>
      </w:r>
      <w:r w:rsidR="00922B9D" w:rsidRPr="00321CBD">
        <w:rPr>
          <w:rFonts w:ascii="Times New Roman" w:hAnsi="Times New Roman" w:cs="Times New Roman"/>
          <w:sz w:val="24"/>
          <w:szCs w:val="24"/>
          <w:lang w:val="lv-LV"/>
        </w:rPr>
        <w:t>ā</w:t>
      </w:r>
      <w:r>
        <w:rPr>
          <w:rFonts w:ascii="Times New Roman" w:hAnsi="Times New Roman" w:cs="Times New Roman"/>
          <w:sz w:val="24"/>
          <w:szCs w:val="24"/>
          <w:lang w:val="lv-LV"/>
        </w:rPr>
        <w:t xml:space="preserve"> asiņošanā</w:t>
      </w:r>
      <w:r w:rsidR="007C17A8" w:rsidRPr="00321CBD">
        <w:rPr>
          <w:rFonts w:ascii="Times New Roman" w:hAnsi="Times New Roman" w:cs="Times New Roman"/>
          <w:sz w:val="24"/>
          <w:szCs w:val="24"/>
          <w:lang w:val="lv-LV"/>
        </w:rPr>
        <w:t xml:space="preserve">. </w:t>
      </w:r>
      <w:r>
        <w:rPr>
          <w:rFonts w:ascii="Times New Roman" w:hAnsi="Times New Roman" w:cs="Times New Roman"/>
          <w:sz w:val="24"/>
          <w:szCs w:val="24"/>
          <w:lang w:val="lv-LV"/>
        </w:rPr>
        <w:t>Šajā klasifikācijā h</w:t>
      </w:r>
      <w:r w:rsidR="007C17A8" w:rsidRPr="00321CBD">
        <w:rPr>
          <w:rFonts w:ascii="Times New Roman" w:hAnsi="Times New Roman" w:cs="Times New Roman"/>
          <w:sz w:val="24"/>
          <w:szCs w:val="24"/>
          <w:lang w:val="lv-LV"/>
        </w:rPr>
        <w:t xml:space="preserve">roniska dzemdes asiņošana </w:t>
      </w:r>
      <w:r>
        <w:rPr>
          <w:rFonts w:ascii="Times New Roman" w:hAnsi="Times New Roman" w:cs="Times New Roman"/>
          <w:sz w:val="24"/>
          <w:szCs w:val="24"/>
          <w:lang w:val="lv-LV"/>
        </w:rPr>
        <w:t>tiek definēta kā</w:t>
      </w:r>
      <w:r w:rsidR="007C17A8" w:rsidRPr="00321CBD">
        <w:rPr>
          <w:rFonts w:ascii="Times New Roman" w:hAnsi="Times New Roman" w:cs="Times New Roman"/>
          <w:sz w:val="24"/>
          <w:szCs w:val="24"/>
          <w:lang w:val="lv-LV"/>
        </w:rPr>
        <w:t xml:space="preserve"> izmainīta a</w:t>
      </w:r>
      <w:r w:rsidR="008B1A79">
        <w:rPr>
          <w:rFonts w:ascii="Times New Roman" w:hAnsi="Times New Roman" w:cs="Times New Roman"/>
          <w:sz w:val="24"/>
          <w:szCs w:val="24"/>
          <w:lang w:val="lv-LV"/>
        </w:rPr>
        <w:t>siņošana no dzemdes attiecībā pret</w:t>
      </w:r>
      <w:r w:rsidR="007C17A8" w:rsidRPr="00321CBD">
        <w:rPr>
          <w:rFonts w:ascii="Times New Roman" w:hAnsi="Times New Roman" w:cs="Times New Roman"/>
          <w:sz w:val="24"/>
          <w:szCs w:val="24"/>
          <w:lang w:val="lv-LV"/>
        </w:rPr>
        <w:t xml:space="preserve"> normālām menstruācijām </w:t>
      </w:r>
      <w:r w:rsidR="007C25AF" w:rsidRPr="00321CBD">
        <w:rPr>
          <w:rFonts w:ascii="Times New Roman" w:hAnsi="Times New Roman" w:cs="Times New Roman"/>
          <w:sz w:val="24"/>
          <w:szCs w:val="24"/>
          <w:lang w:val="lv-LV"/>
        </w:rPr>
        <w:t>pēdējo</w:t>
      </w:r>
      <w:r w:rsidR="007C17A8" w:rsidRPr="00321CBD">
        <w:rPr>
          <w:rFonts w:ascii="Times New Roman" w:hAnsi="Times New Roman" w:cs="Times New Roman"/>
          <w:sz w:val="24"/>
          <w:szCs w:val="24"/>
          <w:lang w:val="lv-LV"/>
        </w:rPr>
        <w:t xml:space="preserve"> 6 mēnešu laikā un kas neprasa tūlītēj</w:t>
      </w:r>
      <w:r>
        <w:rPr>
          <w:rFonts w:ascii="Times New Roman" w:hAnsi="Times New Roman" w:cs="Times New Roman"/>
          <w:sz w:val="24"/>
          <w:szCs w:val="24"/>
          <w:lang w:val="lv-LV"/>
        </w:rPr>
        <w:t>u</w:t>
      </w:r>
      <w:r w:rsidR="007C17A8" w:rsidRPr="00321CBD">
        <w:rPr>
          <w:rFonts w:ascii="Times New Roman" w:hAnsi="Times New Roman" w:cs="Times New Roman"/>
          <w:sz w:val="24"/>
          <w:szCs w:val="24"/>
          <w:lang w:val="lv-LV"/>
        </w:rPr>
        <w:t xml:space="preserve"> iejaukšanos. Pie akūtas dzemdes asiņošanas pieder stipra asiņošana no dzimumceļiem, kurai ir nepieciešama tūlītējā </w:t>
      </w:r>
      <w:r w:rsidR="00D45B2D" w:rsidRPr="00321CBD">
        <w:rPr>
          <w:rFonts w:ascii="Times New Roman" w:hAnsi="Times New Roman" w:cs="Times New Roman"/>
          <w:sz w:val="24"/>
          <w:szCs w:val="24"/>
          <w:lang w:val="lv-LV"/>
        </w:rPr>
        <w:t>medicīniskā</w:t>
      </w:r>
      <w:r w:rsidR="007C17A8" w:rsidRPr="00321CBD">
        <w:rPr>
          <w:rFonts w:ascii="Times New Roman" w:hAnsi="Times New Roman" w:cs="Times New Roman"/>
          <w:sz w:val="24"/>
          <w:szCs w:val="24"/>
          <w:lang w:val="lv-LV"/>
        </w:rPr>
        <w:t xml:space="preserve"> palīdzība</w:t>
      </w:r>
      <w:r w:rsidR="008B1A79">
        <w:rPr>
          <w:rFonts w:ascii="Times New Roman" w:hAnsi="Times New Roman" w:cs="Times New Roman"/>
          <w:sz w:val="24"/>
          <w:szCs w:val="24"/>
          <w:lang w:val="lv-LV"/>
        </w:rPr>
        <w:t>.</w:t>
      </w:r>
      <w:r w:rsidR="007C17A8" w:rsidRPr="00321CBD">
        <w:rPr>
          <w:rFonts w:ascii="Times New Roman" w:hAnsi="Times New Roman" w:cs="Times New Roman"/>
          <w:sz w:val="24"/>
          <w:szCs w:val="24"/>
          <w:lang w:val="lv-LV"/>
        </w:rPr>
        <w:t xml:space="preserve"> Svarīgi, ka akūt</w:t>
      </w:r>
      <w:r>
        <w:rPr>
          <w:rFonts w:ascii="Times New Roman" w:hAnsi="Times New Roman" w:cs="Times New Roman"/>
          <w:sz w:val="24"/>
          <w:szCs w:val="24"/>
          <w:lang w:val="lv-LV"/>
        </w:rPr>
        <w:t>ā</w:t>
      </w:r>
      <w:r w:rsidR="007C17A8" w:rsidRPr="00321CBD">
        <w:rPr>
          <w:rFonts w:ascii="Times New Roman" w:hAnsi="Times New Roman" w:cs="Times New Roman"/>
          <w:sz w:val="24"/>
          <w:szCs w:val="24"/>
          <w:lang w:val="lv-LV"/>
        </w:rPr>
        <w:t xml:space="preserve"> patoloģ</w:t>
      </w:r>
      <w:r>
        <w:rPr>
          <w:rFonts w:ascii="Times New Roman" w:hAnsi="Times New Roman" w:cs="Times New Roman"/>
          <w:sz w:val="24"/>
          <w:szCs w:val="24"/>
          <w:lang w:val="lv-LV"/>
        </w:rPr>
        <w:t>i</w:t>
      </w:r>
      <w:r w:rsidR="007C17A8" w:rsidRPr="00321CBD">
        <w:rPr>
          <w:rFonts w:ascii="Times New Roman" w:hAnsi="Times New Roman" w:cs="Times New Roman"/>
          <w:sz w:val="24"/>
          <w:szCs w:val="24"/>
          <w:lang w:val="lv-LV"/>
        </w:rPr>
        <w:t>sk</w:t>
      </w:r>
      <w:r w:rsidR="00D45B2D" w:rsidRPr="00321CBD">
        <w:rPr>
          <w:rFonts w:ascii="Times New Roman" w:hAnsi="Times New Roman" w:cs="Times New Roman"/>
          <w:sz w:val="24"/>
          <w:szCs w:val="24"/>
          <w:lang w:val="lv-LV"/>
        </w:rPr>
        <w:t>ā</w:t>
      </w:r>
      <w:r w:rsidR="007C17A8" w:rsidRPr="00321CBD">
        <w:rPr>
          <w:rFonts w:ascii="Times New Roman" w:hAnsi="Times New Roman" w:cs="Times New Roman"/>
          <w:sz w:val="24"/>
          <w:szCs w:val="24"/>
          <w:lang w:val="lv-LV"/>
        </w:rPr>
        <w:t xml:space="preserve"> dzemdes asiņošana var parādīties uz hroniskās </w:t>
      </w:r>
      <w:r>
        <w:rPr>
          <w:rFonts w:ascii="Times New Roman" w:hAnsi="Times New Roman" w:cs="Times New Roman"/>
          <w:sz w:val="24"/>
          <w:szCs w:val="24"/>
          <w:lang w:val="lv-LV"/>
        </w:rPr>
        <w:t xml:space="preserve">asiņošanas </w:t>
      </w:r>
      <w:r w:rsidR="007C17A8" w:rsidRPr="00321CBD">
        <w:rPr>
          <w:rFonts w:ascii="Times New Roman" w:hAnsi="Times New Roman" w:cs="Times New Roman"/>
          <w:sz w:val="24"/>
          <w:szCs w:val="24"/>
          <w:lang w:val="lv-LV"/>
        </w:rPr>
        <w:t xml:space="preserve">fona vai </w:t>
      </w:r>
      <w:r>
        <w:rPr>
          <w:rFonts w:ascii="Times New Roman" w:hAnsi="Times New Roman" w:cs="Times New Roman"/>
          <w:sz w:val="24"/>
          <w:szCs w:val="24"/>
          <w:lang w:val="lv-LV"/>
        </w:rPr>
        <w:t xml:space="preserve">arī </w:t>
      </w:r>
      <w:r w:rsidR="007C17A8" w:rsidRPr="00321CBD">
        <w:rPr>
          <w:rFonts w:ascii="Times New Roman" w:hAnsi="Times New Roman" w:cs="Times New Roman"/>
          <w:sz w:val="24"/>
          <w:szCs w:val="24"/>
          <w:lang w:val="lv-LV"/>
        </w:rPr>
        <w:t xml:space="preserve">neatkarīgi no tās. </w:t>
      </w:r>
      <w:r w:rsidR="00922B9D" w:rsidRPr="00321CBD">
        <w:rPr>
          <w:rFonts w:ascii="Times New Roman" w:hAnsi="Times New Roman" w:cs="Times New Roman"/>
          <w:sz w:val="24"/>
          <w:szCs w:val="24"/>
          <w:lang w:val="lv-LV"/>
        </w:rPr>
        <w:t>Starpmenstruāl</w:t>
      </w:r>
      <w:r w:rsidR="0018215F">
        <w:rPr>
          <w:rFonts w:ascii="Times New Roman" w:hAnsi="Times New Roman" w:cs="Times New Roman"/>
          <w:sz w:val="24"/>
          <w:szCs w:val="24"/>
          <w:lang w:val="lv-LV"/>
        </w:rPr>
        <w:t>ā</w:t>
      </w:r>
      <w:r w:rsidR="00922B9D" w:rsidRPr="00321CBD">
        <w:rPr>
          <w:rFonts w:ascii="Times New Roman" w:hAnsi="Times New Roman" w:cs="Times New Roman"/>
          <w:sz w:val="24"/>
          <w:szCs w:val="24"/>
          <w:lang w:val="lv-LV"/>
        </w:rPr>
        <w:t xml:space="preserve"> asiņošana tiek definēt</w:t>
      </w:r>
      <w:r>
        <w:rPr>
          <w:rFonts w:ascii="Times New Roman" w:hAnsi="Times New Roman" w:cs="Times New Roman"/>
          <w:sz w:val="24"/>
          <w:szCs w:val="24"/>
          <w:lang w:val="lv-LV"/>
        </w:rPr>
        <w:t>a</w:t>
      </w:r>
      <w:r w:rsidR="00922B9D" w:rsidRPr="00321CBD">
        <w:rPr>
          <w:rFonts w:ascii="Times New Roman" w:hAnsi="Times New Roman" w:cs="Times New Roman"/>
          <w:sz w:val="24"/>
          <w:szCs w:val="24"/>
          <w:lang w:val="lv-LV"/>
        </w:rPr>
        <w:t xml:space="preserve"> k</w:t>
      </w:r>
      <w:r>
        <w:rPr>
          <w:rFonts w:ascii="Times New Roman" w:hAnsi="Times New Roman" w:cs="Times New Roman"/>
          <w:sz w:val="24"/>
          <w:szCs w:val="24"/>
          <w:lang w:val="lv-LV"/>
        </w:rPr>
        <w:t>ā</w:t>
      </w:r>
      <w:r w:rsidR="00922B9D" w:rsidRPr="00321CBD">
        <w:rPr>
          <w:rFonts w:ascii="Times New Roman" w:hAnsi="Times New Roman" w:cs="Times New Roman"/>
          <w:sz w:val="24"/>
          <w:szCs w:val="24"/>
          <w:lang w:val="lv-LV"/>
        </w:rPr>
        <w:t xml:space="preserve"> asiņaini izdalījumi no dzemdes starp skaidri </w:t>
      </w:r>
      <w:r w:rsidR="00D45B2D" w:rsidRPr="00321CBD">
        <w:rPr>
          <w:rFonts w:ascii="Times New Roman" w:hAnsi="Times New Roman" w:cs="Times New Roman"/>
          <w:sz w:val="24"/>
          <w:szCs w:val="24"/>
          <w:lang w:val="lv-LV"/>
        </w:rPr>
        <w:t>paredzamām</w:t>
      </w:r>
      <w:r w:rsidR="00922B9D" w:rsidRPr="00321CBD">
        <w:rPr>
          <w:rFonts w:ascii="Times New Roman" w:hAnsi="Times New Roman" w:cs="Times New Roman"/>
          <w:sz w:val="24"/>
          <w:szCs w:val="24"/>
          <w:lang w:val="lv-LV"/>
        </w:rPr>
        <w:t xml:space="preserve"> menstruācijām.</w:t>
      </w:r>
    </w:p>
    <w:p w14:paraId="0FB42815" w14:textId="326E98B8" w:rsidR="00412DE4" w:rsidRPr="00A37A76" w:rsidRDefault="00922B9D" w:rsidP="00A37A76">
      <w:pPr>
        <w:spacing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Pateicoties smalkam sadalījumam pa grupām, no šīs klasifikācijas tika izņemti tādi termini kā disfunkcionāl</w:t>
      </w:r>
      <w:r w:rsidR="00D45B2D" w:rsidRPr="00321CBD">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dzemdes asiņošana, </w:t>
      </w:r>
      <w:r w:rsidRPr="00321CBD">
        <w:rPr>
          <w:rFonts w:ascii="Times New Roman" w:hAnsi="Times New Roman" w:cs="Times New Roman"/>
          <w:i/>
          <w:sz w:val="24"/>
          <w:szCs w:val="24"/>
          <w:lang w:val="lv-LV"/>
        </w:rPr>
        <w:t>metrorrhagia</w:t>
      </w:r>
      <w:r w:rsidRPr="00321CBD">
        <w:rPr>
          <w:rFonts w:ascii="Times New Roman" w:hAnsi="Times New Roman" w:cs="Times New Roman"/>
          <w:sz w:val="24"/>
          <w:szCs w:val="24"/>
          <w:lang w:val="lv-LV"/>
        </w:rPr>
        <w:t xml:space="preserve"> un </w:t>
      </w:r>
      <w:r w:rsidRPr="00321CBD">
        <w:rPr>
          <w:rFonts w:ascii="Times New Roman" w:hAnsi="Times New Roman" w:cs="Times New Roman"/>
          <w:i/>
          <w:sz w:val="24"/>
          <w:szCs w:val="24"/>
          <w:lang w:val="lv-LV"/>
        </w:rPr>
        <w:t>menorrhagia</w:t>
      </w:r>
      <w:r w:rsidRPr="00321CBD">
        <w:rPr>
          <w:rFonts w:ascii="Times New Roman" w:hAnsi="Times New Roman" w:cs="Times New Roman"/>
          <w:sz w:val="24"/>
          <w:szCs w:val="24"/>
          <w:lang w:val="lv-LV"/>
        </w:rPr>
        <w:t>.</w:t>
      </w:r>
      <w:r w:rsidR="007677EE" w:rsidRPr="00321CBD">
        <w:rPr>
          <w:rFonts w:ascii="Times New Roman" w:hAnsi="Times New Roman" w:cs="Times New Roman"/>
          <w:sz w:val="24"/>
          <w:szCs w:val="24"/>
          <w:lang w:val="lv-LV"/>
        </w:rPr>
        <w:t xml:space="preserve"> Izmantojot šo klasifikāciju, FIGO izstrādāja arī sievie</w:t>
      </w:r>
      <w:r w:rsidR="006B2460">
        <w:rPr>
          <w:rFonts w:ascii="Times New Roman" w:hAnsi="Times New Roman" w:cs="Times New Roman"/>
          <w:sz w:val="24"/>
          <w:szCs w:val="24"/>
          <w:lang w:val="lv-LV"/>
        </w:rPr>
        <w:t>šu</w:t>
      </w:r>
      <w:r w:rsidR="007677EE" w:rsidRPr="00321CBD">
        <w:rPr>
          <w:rFonts w:ascii="Times New Roman" w:hAnsi="Times New Roman" w:cs="Times New Roman"/>
          <w:sz w:val="24"/>
          <w:szCs w:val="24"/>
          <w:lang w:val="lv-LV"/>
        </w:rPr>
        <w:t xml:space="preserve"> izmeklēšanas algoritmu, kurā histeroskopijai atvēlēta liela loma organisko patoloģiju diagno</w:t>
      </w:r>
      <w:r w:rsidR="00A37A76">
        <w:rPr>
          <w:rFonts w:ascii="Times New Roman" w:hAnsi="Times New Roman" w:cs="Times New Roman"/>
          <w:sz w:val="24"/>
          <w:szCs w:val="24"/>
          <w:lang w:val="lv-LV"/>
        </w:rPr>
        <w:t xml:space="preserve">stikā, tas ir tieši </w:t>
      </w:r>
      <w:smartTag w:uri="urn:schemas-microsoft-com:office:smarttags" w:element="stockticker">
        <w:r w:rsidR="00A37A76">
          <w:rPr>
            <w:rFonts w:ascii="Times New Roman" w:hAnsi="Times New Roman" w:cs="Times New Roman"/>
            <w:sz w:val="24"/>
            <w:szCs w:val="24"/>
            <w:lang w:val="lv-LV"/>
          </w:rPr>
          <w:t>PALM</w:t>
        </w:r>
      </w:smartTag>
      <w:r w:rsidR="00A37A76">
        <w:rPr>
          <w:rFonts w:ascii="Times New Roman" w:hAnsi="Times New Roman" w:cs="Times New Roman"/>
          <w:sz w:val="24"/>
          <w:szCs w:val="24"/>
          <w:lang w:val="lv-LV"/>
        </w:rPr>
        <w:t xml:space="preserve"> daļai</w:t>
      </w:r>
      <w:r w:rsidR="007677EE"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4</w:t>
      </w:r>
    </w:p>
    <w:p w14:paraId="12DE8433" w14:textId="56943B4F" w:rsidR="000E6C1C" w:rsidRPr="00321CBD" w:rsidRDefault="00C70AFF"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Izplatība (reprod</w:t>
      </w:r>
      <w:r w:rsidR="00D45B2D" w:rsidRPr="00321CBD">
        <w:rPr>
          <w:rFonts w:ascii="Times New Roman" w:hAnsi="Times New Roman" w:cs="Times New Roman"/>
          <w:b/>
          <w:sz w:val="24"/>
          <w:szCs w:val="24"/>
          <w:lang w:val="lv-LV"/>
        </w:rPr>
        <w:t xml:space="preserve">uktīvajā </w:t>
      </w:r>
      <w:r w:rsidRPr="00321CBD">
        <w:rPr>
          <w:rFonts w:ascii="Times New Roman" w:hAnsi="Times New Roman" w:cs="Times New Roman"/>
          <w:b/>
          <w:sz w:val="24"/>
          <w:szCs w:val="24"/>
          <w:lang w:val="lv-LV"/>
        </w:rPr>
        <w:t>vecum</w:t>
      </w:r>
      <w:r w:rsidR="00D45B2D" w:rsidRPr="00321CBD">
        <w:rPr>
          <w:rFonts w:ascii="Times New Roman" w:hAnsi="Times New Roman" w:cs="Times New Roman"/>
          <w:b/>
          <w:sz w:val="24"/>
          <w:szCs w:val="24"/>
          <w:lang w:val="lv-LV"/>
        </w:rPr>
        <w:t>ā</w:t>
      </w:r>
      <w:r w:rsidRPr="00321CBD">
        <w:rPr>
          <w:rFonts w:ascii="Times New Roman" w:hAnsi="Times New Roman" w:cs="Times New Roman"/>
          <w:b/>
          <w:sz w:val="24"/>
          <w:szCs w:val="24"/>
          <w:lang w:val="lv-LV"/>
        </w:rPr>
        <w:t xml:space="preserve"> / menopauz</w:t>
      </w:r>
      <w:r w:rsidR="00D45B2D" w:rsidRPr="00321CBD">
        <w:rPr>
          <w:rFonts w:ascii="Times New Roman" w:hAnsi="Times New Roman" w:cs="Times New Roman"/>
          <w:b/>
          <w:sz w:val="24"/>
          <w:szCs w:val="24"/>
          <w:lang w:val="lv-LV"/>
        </w:rPr>
        <w:t>ē</w:t>
      </w:r>
      <w:r w:rsidRPr="00321CBD">
        <w:rPr>
          <w:rFonts w:ascii="Times New Roman" w:hAnsi="Times New Roman" w:cs="Times New Roman"/>
          <w:b/>
          <w:sz w:val="24"/>
          <w:szCs w:val="24"/>
          <w:lang w:val="lv-LV"/>
        </w:rPr>
        <w:t>) un iemesli</w:t>
      </w:r>
    </w:p>
    <w:p w14:paraId="7D825A76" w14:textId="52C21E46" w:rsidR="007677EE" w:rsidRPr="00321CBD" w:rsidRDefault="00722E24" w:rsidP="008A1720">
      <w:pPr>
        <w:spacing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Patoloģiska dzemdes asiņošana ir viena no </w:t>
      </w:r>
      <w:r w:rsidR="00D45B2D" w:rsidRPr="00321CBD">
        <w:rPr>
          <w:rFonts w:ascii="Times New Roman" w:hAnsi="Times New Roman" w:cs="Times New Roman"/>
          <w:sz w:val="24"/>
          <w:szCs w:val="24"/>
          <w:lang w:val="lv-LV"/>
        </w:rPr>
        <w:t>visbiežākajām</w:t>
      </w:r>
      <w:r w:rsidRPr="00321CBD">
        <w:rPr>
          <w:rFonts w:ascii="Times New Roman" w:hAnsi="Times New Roman" w:cs="Times New Roman"/>
          <w:sz w:val="24"/>
          <w:szCs w:val="24"/>
          <w:lang w:val="lv-LV"/>
        </w:rPr>
        <w:t xml:space="preserve"> problēmām ar kuru sieviete </w:t>
      </w:r>
      <w:r w:rsidR="00D45B2D" w:rsidRPr="00321CBD">
        <w:rPr>
          <w:rFonts w:ascii="Times New Roman" w:hAnsi="Times New Roman" w:cs="Times New Roman"/>
          <w:sz w:val="24"/>
          <w:szCs w:val="24"/>
          <w:lang w:val="lv-LV"/>
        </w:rPr>
        <w:t xml:space="preserve">vēršas </w:t>
      </w:r>
      <w:r w:rsidRPr="00321CBD">
        <w:rPr>
          <w:rFonts w:ascii="Times New Roman" w:hAnsi="Times New Roman" w:cs="Times New Roman"/>
          <w:sz w:val="24"/>
          <w:szCs w:val="24"/>
          <w:lang w:val="lv-LV"/>
        </w:rPr>
        <w:t xml:space="preserve">pie ginekologa. </w:t>
      </w:r>
      <w:r w:rsidR="00D45B2D" w:rsidRPr="00321CBD">
        <w:rPr>
          <w:rFonts w:ascii="Times New Roman" w:hAnsi="Times New Roman" w:cs="Times New Roman"/>
          <w:sz w:val="24"/>
          <w:szCs w:val="24"/>
          <w:lang w:val="lv-LV"/>
        </w:rPr>
        <w:t>K</w:t>
      </w:r>
      <w:r w:rsidRPr="00321CBD">
        <w:rPr>
          <w:rFonts w:ascii="Times New Roman" w:hAnsi="Times New Roman" w:cs="Times New Roman"/>
          <w:sz w:val="24"/>
          <w:szCs w:val="24"/>
          <w:lang w:val="lv-LV"/>
        </w:rPr>
        <w:t xml:space="preserve">atrā valstī patoloģiskās dzemdes asiņošanas biežums nedaudz </w:t>
      </w:r>
      <w:r w:rsidR="00D45B2D" w:rsidRPr="00321CBD">
        <w:rPr>
          <w:rFonts w:ascii="Times New Roman" w:hAnsi="Times New Roman" w:cs="Times New Roman"/>
          <w:sz w:val="24"/>
          <w:szCs w:val="24"/>
          <w:lang w:val="lv-LV"/>
        </w:rPr>
        <w:t>atšķiras</w:t>
      </w:r>
      <w:r w:rsidRPr="00321CBD">
        <w:rPr>
          <w:rFonts w:ascii="Times New Roman" w:hAnsi="Times New Roman" w:cs="Times New Roman"/>
          <w:sz w:val="24"/>
          <w:szCs w:val="24"/>
          <w:lang w:val="lv-LV"/>
        </w:rPr>
        <w:t xml:space="preserve">, tomēr </w:t>
      </w:r>
      <w:r w:rsidR="00D45B2D" w:rsidRPr="00321CBD">
        <w:rPr>
          <w:rFonts w:ascii="Times New Roman" w:hAnsi="Times New Roman" w:cs="Times New Roman"/>
          <w:sz w:val="24"/>
          <w:szCs w:val="24"/>
          <w:lang w:val="lv-LV"/>
        </w:rPr>
        <w:t>vidēji</w:t>
      </w:r>
      <w:r w:rsidRPr="00321CBD">
        <w:rPr>
          <w:rFonts w:ascii="Times New Roman" w:hAnsi="Times New Roman" w:cs="Times New Roman"/>
          <w:sz w:val="24"/>
          <w:szCs w:val="24"/>
          <w:lang w:val="lv-LV"/>
        </w:rPr>
        <w:t xml:space="preserve"> ~30 % no visiem ginekologa apmeklējum</w:t>
      </w:r>
      <w:r w:rsidR="00A37A76">
        <w:rPr>
          <w:rFonts w:ascii="Times New Roman" w:hAnsi="Times New Roman" w:cs="Times New Roman"/>
          <w:sz w:val="24"/>
          <w:szCs w:val="24"/>
          <w:lang w:val="lv-LV"/>
        </w:rPr>
        <w:t>iem ir saistīti ar šo problēmu</w:t>
      </w:r>
      <w:r w:rsidR="00411DF6"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7</w:t>
      </w:r>
      <w:r w:rsidR="00411DF6" w:rsidRPr="00321CBD">
        <w:rPr>
          <w:rFonts w:ascii="Times New Roman" w:hAnsi="Times New Roman" w:cs="Times New Roman"/>
          <w:sz w:val="24"/>
          <w:szCs w:val="24"/>
          <w:lang w:val="lv-LV"/>
        </w:rPr>
        <w:t xml:space="preserve"> Šī problēma palielinās ar vecumu, un perimenopauzes un postmenopauzes vecumā var sasniegt no 50% līdz pat 70% no visiem ginekologa apmeklējumiem</w:t>
      </w:r>
      <w:r w:rsidR="00DC154F"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8</w:t>
      </w:r>
      <w:r w:rsidR="00DC154F" w:rsidRPr="00321CBD">
        <w:rPr>
          <w:rFonts w:ascii="Times New Roman" w:hAnsi="Times New Roman" w:cs="Times New Roman"/>
          <w:sz w:val="24"/>
          <w:szCs w:val="24"/>
          <w:lang w:val="lv-LV"/>
        </w:rPr>
        <w:t xml:space="preserve"> </w:t>
      </w:r>
    </w:p>
    <w:p w14:paraId="0CD55B14" w14:textId="23CA22B7" w:rsidR="00947AB2" w:rsidRPr="00321CBD" w:rsidRDefault="00947AB2" w:rsidP="008A1720">
      <w:pPr>
        <w:spacing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Ņemot </w:t>
      </w:r>
      <w:r w:rsidR="00D45B2D" w:rsidRPr="00321CBD">
        <w:rPr>
          <w:rFonts w:ascii="Times New Roman" w:hAnsi="Times New Roman" w:cs="Times New Roman"/>
          <w:sz w:val="24"/>
          <w:szCs w:val="24"/>
          <w:lang w:val="lv-LV"/>
        </w:rPr>
        <w:t>vērā</w:t>
      </w:r>
      <w:r w:rsidRPr="00321CBD">
        <w:rPr>
          <w:rFonts w:ascii="Times New Roman" w:hAnsi="Times New Roman" w:cs="Times New Roman"/>
          <w:sz w:val="24"/>
          <w:szCs w:val="24"/>
          <w:lang w:val="lv-LV"/>
        </w:rPr>
        <w:t>, ka sievietes reproduktīva sistēma ir ļoti sarežģīta, tā funkcionē dažādos sievietes dzīves posmos dažādi</w:t>
      </w:r>
      <w:r w:rsidR="006B2460">
        <w:rPr>
          <w:rFonts w:ascii="Times New Roman" w:hAnsi="Times New Roman" w:cs="Times New Roman"/>
          <w:sz w:val="24"/>
          <w:szCs w:val="24"/>
          <w:lang w:val="lv-LV"/>
        </w:rPr>
        <w:t xml:space="preserve"> un to</w:t>
      </w:r>
      <w:r w:rsidRPr="00321CBD">
        <w:rPr>
          <w:rFonts w:ascii="Times New Roman" w:hAnsi="Times New Roman" w:cs="Times New Roman"/>
          <w:sz w:val="24"/>
          <w:szCs w:val="24"/>
          <w:lang w:val="lv-LV"/>
        </w:rPr>
        <w:t xml:space="preserve"> ietekmē dažādi dzīves faktori. Analoģiski, arī patoloģiska dzemdes asiņošana dažād</w:t>
      </w:r>
      <w:r w:rsidR="006B2460">
        <w:rPr>
          <w:rFonts w:ascii="Times New Roman" w:hAnsi="Times New Roman" w:cs="Times New Roman"/>
          <w:sz w:val="24"/>
          <w:szCs w:val="24"/>
          <w:lang w:val="lv-LV"/>
        </w:rPr>
        <w:t>o</w:t>
      </w:r>
      <w:r w:rsidRPr="00321CBD">
        <w:rPr>
          <w:rFonts w:ascii="Times New Roman" w:hAnsi="Times New Roman" w:cs="Times New Roman"/>
          <w:sz w:val="24"/>
          <w:szCs w:val="24"/>
          <w:lang w:val="lv-LV"/>
        </w:rPr>
        <w:t xml:space="preserve">s sievietes dzīves posmos ir saistīta ar dažādām problēmām. </w:t>
      </w:r>
    </w:p>
    <w:p w14:paraId="7013CBA1" w14:textId="4B08B747" w:rsidR="00C9473B" w:rsidRPr="00321CBD" w:rsidRDefault="00C9473B" w:rsidP="008A1720">
      <w:pPr>
        <w:spacing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Menarhes vecumā tā vairāk ir saistīta ar nenobriedušo hipotalāma – hipofīzes asi un anovulatoriem cikliem.</w:t>
      </w:r>
      <w:r w:rsidR="006B2460">
        <w:rPr>
          <w:rFonts w:ascii="Times New Roman" w:hAnsi="Times New Roman" w:cs="Times New Roman"/>
          <w:sz w:val="24"/>
          <w:szCs w:val="24"/>
          <w:lang w:val="lv-LV"/>
        </w:rPr>
        <w:t xml:space="preserve"> R</w:t>
      </w:r>
      <w:r w:rsidRPr="00321CBD">
        <w:rPr>
          <w:rFonts w:ascii="Times New Roman" w:hAnsi="Times New Roman" w:cs="Times New Roman"/>
          <w:sz w:val="24"/>
          <w:szCs w:val="24"/>
          <w:lang w:val="lv-LV"/>
        </w:rPr>
        <w:t>eproduktīva</w:t>
      </w:r>
      <w:r w:rsidR="00D45B2D" w:rsidRPr="00321CBD">
        <w:rPr>
          <w:rFonts w:ascii="Times New Roman" w:hAnsi="Times New Roman" w:cs="Times New Roman"/>
          <w:sz w:val="24"/>
          <w:szCs w:val="24"/>
          <w:lang w:val="lv-LV"/>
        </w:rPr>
        <w:t>jā</w:t>
      </w:r>
      <w:r w:rsidRPr="00321CBD">
        <w:rPr>
          <w:rFonts w:ascii="Times New Roman" w:hAnsi="Times New Roman" w:cs="Times New Roman"/>
          <w:sz w:val="24"/>
          <w:szCs w:val="24"/>
          <w:lang w:val="lv-LV"/>
        </w:rPr>
        <w:t xml:space="preserve"> vecumā un </w:t>
      </w:r>
      <w:r w:rsidR="006C158F" w:rsidRPr="00321CBD">
        <w:rPr>
          <w:rFonts w:ascii="Times New Roman" w:hAnsi="Times New Roman" w:cs="Times New Roman"/>
          <w:sz w:val="24"/>
          <w:szCs w:val="24"/>
          <w:lang w:val="lv-LV"/>
        </w:rPr>
        <w:t xml:space="preserve">it īpaši menopauzes vecumā par asiņošanas iemesliem parasti </w:t>
      </w:r>
      <w:r w:rsidR="00D45B2D" w:rsidRPr="00321CBD">
        <w:rPr>
          <w:rFonts w:ascii="Times New Roman" w:hAnsi="Times New Roman" w:cs="Times New Roman"/>
          <w:sz w:val="24"/>
          <w:szCs w:val="24"/>
          <w:lang w:val="lv-LV"/>
        </w:rPr>
        <w:t>kļūst</w:t>
      </w:r>
      <w:r w:rsidR="006C158F" w:rsidRPr="00321CBD">
        <w:rPr>
          <w:rFonts w:ascii="Times New Roman" w:hAnsi="Times New Roman" w:cs="Times New Roman"/>
          <w:sz w:val="24"/>
          <w:szCs w:val="24"/>
          <w:lang w:val="lv-LV"/>
        </w:rPr>
        <w:t xml:space="preserve"> </w:t>
      </w:r>
      <w:r w:rsidR="006F2210" w:rsidRPr="00321CBD">
        <w:rPr>
          <w:rFonts w:ascii="Times New Roman" w:hAnsi="Times New Roman" w:cs="Times New Roman"/>
          <w:sz w:val="24"/>
          <w:szCs w:val="24"/>
          <w:lang w:val="lv-LV"/>
        </w:rPr>
        <w:t xml:space="preserve">strukturālas </w:t>
      </w:r>
      <w:r w:rsidR="006C158F" w:rsidRPr="00321CBD">
        <w:rPr>
          <w:rFonts w:ascii="Times New Roman" w:hAnsi="Times New Roman" w:cs="Times New Roman"/>
          <w:sz w:val="24"/>
          <w:szCs w:val="24"/>
          <w:lang w:val="lv-LV"/>
        </w:rPr>
        <w:t>patoloģijas</w:t>
      </w:r>
      <w:r w:rsidR="00C3025D" w:rsidRPr="00321CBD">
        <w:rPr>
          <w:rFonts w:ascii="Times New Roman" w:hAnsi="Times New Roman" w:cs="Times New Roman"/>
          <w:sz w:val="24"/>
          <w:szCs w:val="24"/>
          <w:lang w:val="lv-LV"/>
        </w:rPr>
        <w:t xml:space="preserve"> </w:t>
      </w:r>
      <w:r w:rsidR="006C158F" w:rsidRPr="00321CBD">
        <w:rPr>
          <w:rFonts w:ascii="Times New Roman" w:hAnsi="Times New Roman" w:cs="Times New Roman"/>
          <w:sz w:val="24"/>
          <w:szCs w:val="24"/>
          <w:lang w:val="lv-LV"/>
        </w:rPr>
        <w:t>kā polipi vai endometrija hiperpl</w:t>
      </w:r>
      <w:r w:rsidR="000E186A">
        <w:rPr>
          <w:rFonts w:ascii="Times New Roman" w:hAnsi="Times New Roman" w:cs="Times New Roman"/>
          <w:sz w:val="24"/>
          <w:szCs w:val="24"/>
          <w:lang w:val="lv-LV"/>
        </w:rPr>
        <w:t>a</w:t>
      </w:r>
      <w:r w:rsidR="006C158F" w:rsidRPr="00321CBD">
        <w:rPr>
          <w:rFonts w:ascii="Times New Roman" w:hAnsi="Times New Roman" w:cs="Times New Roman"/>
          <w:sz w:val="24"/>
          <w:szCs w:val="24"/>
          <w:lang w:val="lv-LV"/>
        </w:rPr>
        <w:t>stiskie procesi. Tā, piemēram</w:t>
      </w:r>
      <w:r w:rsidR="00970D79" w:rsidRPr="00321CBD">
        <w:rPr>
          <w:rFonts w:ascii="Times New Roman" w:hAnsi="Times New Roman" w:cs="Times New Roman"/>
          <w:sz w:val="24"/>
          <w:szCs w:val="24"/>
          <w:lang w:val="lv-LV"/>
        </w:rPr>
        <w:t>,</w:t>
      </w:r>
      <w:r w:rsidR="006C158F" w:rsidRPr="00321CBD">
        <w:rPr>
          <w:rFonts w:ascii="Times New Roman" w:hAnsi="Times New Roman" w:cs="Times New Roman"/>
          <w:sz w:val="24"/>
          <w:szCs w:val="24"/>
          <w:lang w:val="lv-LV"/>
        </w:rPr>
        <w:t xml:space="preserve"> 2011. gada pēt</w:t>
      </w:r>
      <w:r w:rsidR="00D45B2D" w:rsidRPr="00321CBD">
        <w:rPr>
          <w:rFonts w:ascii="Times New Roman" w:hAnsi="Times New Roman" w:cs="Times New Roman"/>
          <w:sz w:val="24"/>
          <w:szCs w:val="24"/>
          <w:lang w:val="lv-LV"/>
        </w:rPr>
        <w:t>ī</w:t>
      </w:r>
      <w:r w:rsidR="006C158F" w:rsidRPr="00321CBD">
        <w:rPr>
          <w:rFonts w:ascii="Times New Roman" w:hAnsi="Times New Roman" w:cs="Times New Roman"/>
          <w:sz w:val="24"/>
          <w:szCs w:val="24"/>
          <w:lang w:val="lv-LV"/>
        </w:rPr>
        <w:t>jumā Serbijā endometrija polips bija visbiežākā atrast</w:t>
      </w:r>
      <w:r w:rsidR="000E186A">
        <w:rPr>
          <w:rFonts w:ascii="Times New Roman" w:hAnsi="Times New Roman" w:cs="Times New Roman"/>
          <w:sz w:val="24"/>
          <w:szCs w:val="24"/>
          <w:lang w:val="lv-LV"/>
        </w:rPr>
        <w:t>ā</w:t>
      </w:r>
      <w:r w:rsidR="006C158F" w:rsidRPr="00321CBD">
        <w:rPr>
          <w:rFonts w:ascii="Times New Roman" w:hAnsi="Times New Roman" w:cs="Times New Roman"/>
          <w:sz w:val="24"/>
          <w:szCs w:val="24"/>
          <w:lang w:val="lv-LV"/>
        </w:rPr>
        <w:t xml:space="preserve"> patoloģija sievietēm ar </w:t>
      </w:r>
      <w:r w:rsidR="000E186A">
        <w:rPr>
          <w:rFonts w:ascii="Times New Roman" w:hAnsi="Times New Roman" w:cs="Times New Roman"/>
          <w:sz w:val="24"/>
          <w:szCs w:val="24"/>
          <w:lang w:val="lv-LV"/>
        </w:rPr>
        <w:t>dzemdes</w:t>
      </w:r>
      <w:r w:rsidR="006C158F" w:rsidRPr="00321CBD">
        <w:rPr>
          <w:rFonts w:ascii="Times New Roman" w:hAnsi="Times New Roman" w:cs="Times New Roman"/>
          <w:sz w:val="24"/>
          <w:szCs w:val="24"/>
          <w:lang w:val="lv-LV"/>
        </w:rPr>
        <w:t xml:space="preserve"> asiņošanu, tā </w:t>
      </w:r>
      <w:r w:rsidR="00D45B2D" w:rsidRPr="00321CBD">
        <w:rPr>
          <w:rFonts w:ascii="Times New Roman" w:hAnsi="Times New Roman" w:cs="Times New Roman"/>
          <w:sz w:val="24"/>
          <w:szCs w:val="24"/>
          <w:lang w:val="lv-LV"/>
        </w:rPr>
        <w:t>sastādīja</w:t>
      </w:r>
      <w:r w:rsidR="006C158F" w:rsidRPr="00321CBD">
        <w:rPr>
          <w:rFonts w:ascii="Times New Roman" w:hAnsi="Times New Roman" w:cs="Times New Roman"/>
          <w:sz w:val="24"/>
          <w:szCs w:val="24"/>
          <w:lang w:val="lv-LV"/>
        </w:rPr>
        <w:t xml:space="preserve"> 21.8% no </w:t>
      </w:r>
      <w:r w:rsidR="007D2882" w:rsidRPr="00321CBD">
        <w:rPr>
          <w:rFonts w:ascii="Times New Roman" w:hAnsi="Times New Roman" w:cs="Times New Roman"/>
          <w:sz w:val="24"/>
          <w:szCs w:val="24"/>
          <w:lang w:val="lv-LV"/>
        </w:rPr>
        <w:t xml:space="preserve">izmeklētām </w:t>
      </w:r>
      <w:r w:rsidR="006C158F" w:rsidRPr="00321CBD">
        <w:rPr>
          <w:rFonts w:ascii="Times New Roman" w:hAnsi="Times New Roman" w:cs="Times New Roman"/>
          <w:sz w:val="24"/>
          <w:szCs w:val="24"/>
          <w:lang w:val="lv-LV"/>
        </w:rPr>
        <w:t>pacient</w:t>
      </w:r>
      <w:r w:rsidR="007D2882" w:rsidRPr="00321CBD">
        <w:rPr>
          <w:rFonts w:ascii="Times New Roman" w:hAnsi="Times New Roman" w:cs="Times New Roman"/>
          <w:sz w:val="24"/>
          <w:szCs w:val="24"/>
          <w:lang w:val="lv-LV"/>
        </w:rPr>
        <w:t>ē</w:t>
      </w:r>
      <w:r w:rsidR="006C158F" w:rsidRPr="00321CBD">
        <w:rPr>
          <w:rFonts w:ascii="Times New Roman" w:hAnsi="Times New Roman" w:cs="Times New Roman"/>
          <w:sz w:val="24"/>
          <w:szCs w:val="24"/>
          <w:lang w:val="lv-LV"/>
        </w:rPr>
        <w:t>m</w:t>
      </w:r>
      <w:r w:rsidR="008B1A79">
        <w:rPr>
          <w:rFonts w:ascii="Times New Roman" w:hAnsi="Times New Roman" w:cs="Times New Roman"/>
          <w:sz w:val="24"/>
          <w:szCs w:val="24"/>
          <w:lang w:val="lv-LV"/>
        </w:rPr>
        <w:t xml:space="preserve">. Pie tam, kopumā, </w:t>
      </w:r>
      <w:r w:rsidR="00DF6635" w:rsidRPr="00321CBD">
        <w:rPr>
          <w:rFonts w:ascii="Times New Roman" w:hAnsi="Times New Roman" w:cs="Times New Roman"/>
          <w:sz w:val="24"/>
          <w:szCs w:val="24"/>
          <w:lang w:val="lv-LV"/>
        </w:rPr>
        <w:t xml:space="preserve"> </w:t>
      </w:r>
      <w:r w:rsidR="00472EC3" w:rsidRPr="00321CBD">
        <w:rPr>
          <w:rFonts w:ascii="Times New Roman" w:hAnsi="Times New Roman" w:cs="Times New Roman"/>
          <w:sz w:val="24"/>
          <w:szCs w:val="24"/>
          <w:lang w:val="lv-LV"/>
        </w:rPr>
        <w:t>patoloģiskas atradnes procents sievietēm</w:t>
      </w:r>
      <w:r w:rsidR="006B2460">
        <w:rPr>
          <w:rFonts w:ascii="Times New Roman" w:hAnsi="Times New Roman" w:cs="Times New Roman"/>
          <w:sz w:val="24"/>
          <w:szCs w:val="24"/>
          <w:lang w:val="lv-LV"/>
        </w:rPr>
        <w:t>,</w:t>
      </w:r>
      <w:r w:rsidR="00472EC3" w:rsidRPr="00321CBD">
        <w:rPr>
          <w:rFonts w:ascii="Times New Roman" w:hAnsi="Times New Roman" w:cs="Times New Roman"/>
          <w:sz w:val="24"/>
          <w:szCs w:val="24"/>
          <w:lang w:val="lv-LV"/>
        </w:rPr>
        <w:t xml:space="preserve"> vecākām par 45 gadi</w:t>
      </w:r>
      <w:r w:rsidR="00D45B2D" w:rsidRPr="00321CBD">
        <w:rPr>
          <w:rFonts w:ascii="Times New Roman" w:hAnsi="Times New Roman" w:cs="Times New Roman"/>
          <w:sz w:val="24"/>
          <w:szCs w:val="24"/>
          <w:lang w:val="lv-LV"/>
        </w:rPr>
        <w:t>em</w:t>
      </w:r>
      <w:r w:rsidR="006B2460">
        <w:rPr>
          <w:rFonts w:ascii="Times New Roman" w:hAnsi="Times New Roman" w:cs="Times New Roman"/>
          <w:sz w:val="24"/>
          <w:szCs w:val="24"/>
          <w:lang w:val="lv-LV"/>
        </w:rPr>
        <w:t>,</w:t>
      </w:r>
      <w:r w:rsidR="00472EC3" w:rsidRPr="00321CBD">
        <w:rPr>
          <w:rFonts w:ascii="Times New Roman" w:hAnsi="Times New Roman" w:cs="Times New Roman"/>
          <w:sz w:val="24"/>
          <w:szCs w:val="24"/>
          <w:lang w:val="lv-LV"/>
        </w:rPr>
        <w:t xml:space="preserve"> </w:t>
      </w:r>
      <w:r w:rsidR="007D2882" w:rsidRPr="00321CBD">
        <w:rPr>
          <w:rFonts w:ascii="Times New Roman" w:hAnsi="Times New Roman" w:cs="Times New Roman"/>
          <w:sz w:val="24"/>
          <w:szCs w:val="24"/>
          <w:lang w:val="lv-LV"/>
        </w:rPr>
        <w:t>sastādīja</w:t>
      </w:r>
      <w:r w:rsidR="00472EC3" w:rsidRPr="00321CBD">
        <w:rPr>
          <w:rFonts w:ascii="Times New Roman" w:hAnsi="Times New Roman" w:cs="Times New Roman"/>
          <w:sz w:val="24"/>
          <w:szCs w:val="24"/>
          <w:lang w:val="lv-LV"/>
        </w:rPr>
        <w:t xml:space="preserve"> 45.7%, bet sievietēm no 30 līdz 45</w:t>
      </w:r>
      <w:r w:rsidR="006B2460">
        <w:rPr>
          <w:rFonts w:ascii="Times New Roman" w:hAnsi="Times New Roman" w:cs="Times New Roman"/>
          <w:sz w:val="24"/>
          <w:szCs w:val="24"/>
          <w:lang w:val="lv-LV"/>
        </w:rPr>
        <w:t xml:space="preserve"> gadiem -</w:t>
      </w:r>
      <w:r w:rsidR="00472EC3" w:rsidRPr="00321CBD">
        <w:rPr>
          <w:rFonts w:ascii="Times New Roman" w:hAnsi="Times New Roman" w:cs="Times New Roman"/>
          <w:sz w:val="24"/>
          <w:szCs w:val="24"/>
          <w:lang w:val="lv-LV"/>
        </w:rPr>
        <w:t xml:space="preserve"> tikai 12.4%</w:t>
      </w:r>
      <w:r w:rsidR="00420B55"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1</w:t>
      </w:r>
      <w:r w:rsidR="00420B55" w:rsidRPr="00321CBD">
        <w:rPr>
          <w:rFonts w:ascii="Times New Roman" w:hAnsi="Times New Roman" w:cs="Times New Roman"/>
          <w:sz w:val="24"/>
          <w:szCs w:val="24"/>
          <w:lang w:val="lv-LV"/>
        </w:rPr>
        <w:t xml:space="preserve"> Irān</w:t>
      </w:r>
      <w:r w:rsidR="000E186A">
        <w:rPr>
          <w:rFonts w:ascii="Times New Roman" w:hAnsi="Times New Roman" w:cs="Times New Roman"/>
          <w:sz w:val="24"/>
          <w:szCs w:val="24"/>
          <w:lang w:val="lv-LV"/>
        </w:rPr>
        <w:t>ā</w:t>
      </w:r>
      <w:r w:rsidR="00420B55" w:rsidRPr="00321CBD">
        <w:rPr>
          <w:rFonts w:ascii="Times New Roman" w:hAnsi="Times New Roman" w:cs="Times New Roman"/>
          <w:sz w:val="24"/>
          <w:szCs w:val="24"/>
          <w:lang w:val="lv-LV"/>
        </w:rPr>
        <w:t xml:space="preserve"> 2007. gad</w:t>
      </w:r>
      <w:r w:rsidR="007D2882" w:rsidRPr="00321CBD">
        <w:rPr>
          <w:rFonts w:ascii="Times New Roman" w:hAnsi="Times New Roman" w:cs="Times New Roman"/>
          <w:sz w:val="24"/>
          <w:szCs w:val="24"/>
          <w:lang w:val="lv-LV"/>
        </w:rPr>
        <w:t>ā</w:t>
      </w:r>
      <w:r w:rsidR="00420B55" w:rsidRPr="00321CBD">
        <w:rPr>
          <w:rFonts w:ascii="Times New Roman" w:hAnsi="Times New Roman" w:cs="Times New Roman"/>
          <w:sz w:val="24"/>
          <w:szCs w:val="24"/>
          <w:lang w:val="lv-LV"/>
        </w:rPr>
        <w:t xml:space="preserve"> publicētā </w:t>
      </w:r>
      <w:r w:rsidR="007D2882" w:rsidRPr="00321CBD">
        <w:rPr>
          <w:rFonts w:ascii="Times New Roman" w:hAnsi="Times New Roman" w:cs="Times New Roman"/>
          <w:sz w:val="24"/>
          <w:szCs w:val="24"/>
          <w:lang w:val="lv-LV"/>
        </w:rPr>
        <w:t>pētījumā</w:t>
      </w:r>
      <w:r w:rsidR="00420B55" w:rsidRPr="00321CBD">
        <w:rPr>
          <w:rFonts w:ascii="Times New Roman" w:hAnsi="Times New Roman" w:cs="Times New Roman"/>
          <w:sz w:val="24"/>
          <w:szCs w:val="24"/>
          <w:lang w:val="lv-LV"/>
        </w:rPr>
        <w:t xml:space="preserve"> endometrija polipi tika atrasti 38% </w:t>
      </w:r>
      <w:r w:rsidR="007D2882" w:rsidRPr="00321CBD">
        <w:rPr>
          <w:rFonts w:ascii="Times New Roman" w:hAnsi="Times New Roman" w:cs="Times New Roman"/>
          <w:sz w:val="24"/>
          <w:szCs w:val="24"/>
          <w:lang w:val="lv-LV"/>
        </w:rPr>
        <w:t>gadījumu</w:t>
      </w:r>
      <w:r w:rsidR="00420B55" w:rsidRPr="00321CBD">
        <w:rPr>
          <w:rFonts w:ascii="Times New Roman" w:hAnsi="Times New Roman" w:cs="Times New Roman"/>
          <w:sz w:val="24"/>
          <w:szCs w:val="24"/>
          <w:lang w:val="lv-LV"/>
        </w:rPr>
        <w:t xml:space="preserve">, bet </w:t>
      </w:r>
      <w:r w:rsidR="006B2460" w:rsidRPr="00321CBD">
        <w:rPr>
          <w:rFonts w:ascii="Times New Roman" w:hAnsi="Times New Roman" w:cs="Times New Roman"/>
          <w:sz w:val="24"/>
          <w:szCs w:val="24"/>
          <w:lang w:val="lv-LV"/>
        </w:rPr>
        <w:t xml:space="preserve">sievietēm </w:t>
      </w:r>
      <w:r w:rsidR="00420B55" w:rsidRPr="00321CBD">
        <w:rPr>
          <w:rFonts w:ascii="Times New Roman" w:hAnsi="Times New Roman" w:cs="Times New Roman"/>
          <w:sz w:val="24"/>
          <w:szCs w:val="24"/>
          <w:lang w:val="lv-LV"/>
        </w:rPr>
        <w:t>postmenopauzes</w:t>
      </w:r>
      <w:r w:rsidR="006B2460">
        <w:rPr>
          <w:rFonts w:ascii="Times New Roman" w:hAnsi="Times New Roman" w:cs="Times New Roman"/>
          <w:sz w:val="24"/>
          <w:szCs w:val="24"/>
          <w:lang w:val="lv-LV"/>
        </w:rPr>
        <w:t xml:space="preserve"> periodā -</w:t>
      </w:r>
      <w:r w:rsidR="00420B55" w:rsidRPr="00321CBD">
        <w:rPr>
          <w:rFonts w:ascii="Times New Roman" w:hAnsi="Times New Roman" w:cs="Times New Roman"/>
          <w:sz w:val="24"/>
          <w:szCs w:val="24"/>
          <w:lang w:val="lv-LV"/>
        </w:rPr>
        <w:t xml:space="preserve"> pat vairāk ka 50% </w:t>
      </w:r>
      <w:r w:rsidR="007D2882" w:rsidRPr="00321CBD">
        <w:rPr>
          <w:rFonts w:ascii="Times New Roman" w:hAnsi="Times New Roman" w:cs="Times New Roman"/>
          <w:sz w:val="24"/>
          <w:szCs w:val="24"/>
          <w:lang w:val="lv-LV"/>
        </w:rPr>
        <w:t>gadījumos</w:t>
      </w:r>
      <w:r w:rsidR="00442A4A"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9</w:t>
      </w:r>
      <w:r w:rsidR="00442A4A" w:rsidRPr="00321CBD">
        <w:rPr>
          <w:rFonts w:ascii="Times New Roman" w:hAnsi="Times New Roman" w:cs="Times New Roman"/>
          <w:sz w:val="24"/>
          <w:szCs w:val="24"/>
          <w:lang w:val="lv-LV"/>
        </w:rPr>
        <w:t xml:space="preserve"> </w:t>
      </w:r>
      <w:r w:rsidR="00C3025D" w:rsidRPr="00321CBD">
        <w:rPr>
          <w:rFonts w:ascii="Times New Roman" w:hAnsi="Times New Roman" w:cs="Times New Roman"/>
          <w:sz w:val="24"/>
          <w:szCs w:val="24"/>
          <w:lang w:val="lv-LV"/>
        </w:rPr>
        <w:t>Lielbritānij</w:t>
      </w:r>
      <w:r w:rsidR="006B2460">
        <w:rPr>
          <w:rFonts w:ascii="Times New Roman" w:hAnsi="Times New Roman" w:cs="Times New Roman"/>
          <w:sz w:val="24"/>
          <w:szCs w:val="24"/>
          <w:lang w:val="lv-LV"/>
        </w:rPr>
        <w:t>ā</w:t>
      </w:r>
      <w:r w:rsidR="00C3025D" w:rsidRPr="00321CBD">
        <w:rPr>
          <w:rFonts w:ascii="Times New Roman" w:hAnsi="Times New Roman" w:cs="Times New Roman"/>
          <w:sz w:val="24"/>
          <w:szCs w:val="24"/>
          <w:lang w:val="lv-LV"/>
        </w:rPr>
        <w:t xml:space="preserve"> 2001. gad</w:t>
      </w:r>
      <w:r w:rsidR="007D2882" w:rsidRPr="00321CBD">
        <w:rPr>
          <w:rFonts w:ascii="Times New Roman" w:hAnsi="Times New Roman" w:cs="Times New Roman"/>
          <w:sz w:val="24"/>
          <w:szCs w:val="24"/>
          <w:lang w:val="lv-LV"/>
        </w:rPr>
        <w:t>ā</w:t>
      </w:r>
      <w:r w:rsidR="00C3025D" w:rsidRPr="00321CBD">
        <w:rPr>
          <w:rFonts w:ascii="Times New Roman" w:hAnsi="Times New Roman" w:cs="Times New Roman"/>
          <w:sz w:val="24"/>
          <w:szCs w:val="24"/>
          <w:lang w:val="lv-LV"/>
        </w:rPr>
        <w:t xml:space="preserve"> publicētā pētījumā endometrija polipu biežums</w:t>
      </w:r>
      <w:r w:rsidR="006B2460">
        <w:rPr>
          <w:rFonts w:ascii="Times New Roman" w:hAnsi="Times New Roman" w:cs="Times New Roman"/>
          <w:sz w:val="24"/>
          <w:szCs w:val="24"/>
          <w:lang w:val="lv-LV"/>
        </w:rPr>
        <w:t xml:space="preserve"> </w:t>
      </w:r>
      <w:r w:rsidR="00C3025D" w:rsidRPr="00321CBD">
        <w:rPr>
          <w:rFonts w:ascii="Times New Roman" w:hAnsi="Times New Roman" w:cs="Times New Roman"/>
          <w:sz w:val="24"/>
          <w:szCs w:val="24"/>
          <w:lang w:val="lv-LV"/>
        </w:rPr>
        <w:t>patoloģisk</w:t>
      </w:r>
      <w:r w:rsidR="007D2882" w:rsidRPr="00321CBD">
        <w:rPr>
          <w:rFonts w:ascii="Times New Roman" w:hAnsi="Times New Roman" w:cs="Times New Roman"/>
          <w:sz w:val="24"/>
          <w:szCs w:val="24"/>
          <w:lang w:val="lv-LV"/>
        </w:rPr>
        <w:t>ā</w:t>
      </w:r>
      <w:r w:rsidR="00C3025D" w:rsidRPr="00321CBD">
        <w:rPr>
          <w:rFonts w:ascii="Times New Roman" w:hAnsi="Times New Roman" w:cs="Times New Roman"/>
          <w:sz w:val="24"/>
          <w:szCs w:val="24"/>
          <w:lang w:val="lv-LV"/>
        </w:rPr>
        <w:t>s dzemdes asiņošanas</w:t>
      </w:r>
      <w:r w:rsidR="006B2460">
        <w:rPr>
          <w:rFonts w:ascii="Times New Roman" w:hAnsi="Times New Roman" w:cs="Times New Roman"/>
          <w:sz w:val="24"/>
          <w:szCs w:val="24"/>
          <w:lang w:val="lv-LV"/>
        </w:rPr>
        <w:t xml:space="preserve"> gadījumā</w:t>
      </w:r>
      <w:r w:rsidR="00C3025D" w:rsidRPr="00321CBD">
        <w:rPr>
          <w:rFonts w:ascii="Times New Roman" w:hAnsi="Times New Roman" w:cs="Times New Roman"/>
          <w:sz w:val="24"/>
          <w:szCs w:val="24"/>
          <w:lang w:val="lv-LV"/>
        </w:rPr>
        <w:t xml:space="preserve"> krasi palielinājās tieši postmenopauzes vecumā salīdzinot ar premenopauzi, </w:t>
      </w:r>
      <w:r w:rsidR="0018215F" w:rsidRPr="00321CBD">
        <w:rPr>
          <w:rFonts w:ascii="Times New Roman" w:hAnsi="Times New Roman" w:cs="Times New Roman"/>
          <w:sz w:val="24"/>
          <w:szCs w:val="24"/>
          <w:lang w:val="lv-LV"/>
        </w:rPr>
        <w:t xml:space="preserve">attiecīgi </w:t>
      </w:r>
      <w:r w:rsidR="00A37A76">
        <w:rPr>
          <w:rFonts w:ascii="Times New Roman" w:hAnsi="Times New Roman" w:cs="Times New Roman"/>
          <w:sz w:val="24"/>
          <w:szCs w:val="24"/>
          <w:lang w:val="lv-LV"/>
        </w:rPr>
        <w:t>83% un 17%</w:t>
      </w:r>
      <w:r w:rsidR="00C3025D"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10</w:t>
      </w:r>
      <w:r w:rsidR="00C3025D" w:rsidRPr="00321CBD">
        <w:rPr>
          <w:rFonts w:ascii="Times New Roman" w:hAnsi="Times New Roman" w:cs="Times New Roman"/>
          <w:sz w:val="24"/>
          <w:szCs w:val="24"/>
          <w:lang w:val="lv-LV"/>
        </w:rPr>
        <w:t xml:space="preserve"> </w:t>
      </w:r>
      <w:r w:rsidR="007D2882" w:rsidRPr="00321CBD">
        <w:rPr>
          <w:rFonts w:ascii="Times New Roman" w:hAnsi="Times New Roman" w:cs="Times New Roman"/>
          <w:sz w:val="24"/>
          <w:szCs w:val="24"/>
          <w:lang w:val="lv-LV"/>
        </w:rPr>
        <w:t>Pētījumā</w:t>
      </w:r>
      <w:r w:rsidR="00442A4A" w:rsidRPr="00321CBD">
        <w:rPr>
          <w:rFonts w:ascii="Times New Roman" w:hAnsi="Times New Roman" w:cs="Times New Roman"/>
          <w:sz w:val="24"/>
          <w:szCs w:val="24"/>
          <w:lang w:val="lv-LV"/>
        </w:rPr>
        <w:t>, kas publicēts 2011.gadā The Journal of Obstetrics and Gynecology of India</w:t>
      </w:r>
      <w:r w:rsidR="000E186A">
        <w:rPr>
          <w:rFonts w:ascii="Times New Roman" w:hAnsi="Times New Roman" w:cs="Times New Roman"/>
          <w:sz w:val="24"/>
          <w:szCs w:val="24"/>
          <w:lang w:val="lv-LV"/>
        </w:rPr>
        <w:t>,</w:t>
      </w:r>
      <w:r w:rsidR="00442A4A" w:rsidRPr="00321CBD">
        <w:rPr>
          <w:rFonts w:ascii="Times New Roman" w:hAnsi="Times New Roman" w:cs="Times New Roman"/>
          <w:sz w:val="24"/>
          <w:szCs w:val="24"/>
          <w:lang w:val="lv-LV"/>
        </w:rPr>
        <w:t xml:space="preserve"> endometrija polips dala līderpozīcijas ar endometrija hiperplastiskiem proces</w:t>
      </w:r>
      <w:r w:rsidR="000E186A">
        <w:rPr>
          <w:rFonts w:ascii="Times New Roman" w:hAnsi="Times New Roman" w:cs="Times New Roman"/>
          <w:sz w:val="24"/>
          <w:szCs w:val="24"/>
          <w:lang w:val="lv-LV"/>
        </w:rPr>
        <w:t>i</w:t>
      </w:r>
      <w:r w:rsidR="00442A4A" w:rsidRPr="00321CBD">
        <w:rPr>
          <w:rFonts w:ascii="Times New Roman" w:hAnsi="Times New Roman" w:cs="Times New Roman"/>
          <w:sz w:val="24"/>
          <w:szCs w:val="24"/>
          <w:lang w:val="lv-LV"/>
        </w:rPr>
        <w:t xml:space="preserve">em, </w:t>
      </w:r>
      <w:r w:rsidR="0018215F" w:rsidRPr="00321CBD">
        <w:rPr>
          <w:rFonts w:ascii="Times New Roman" w:hAnsi="Times New Roman" w:cs="Times New Roman"/>
          <w:sz w:val="24"/>
          <w:szCs w:val="24"/>
          <w:lang w:val="lv-LV"/>
        </w:rPr>
        <w:t xml:space="preserve">attiecīgi </w:t>
      </w:r>
      <w:r w:rsidR="00442A4A" w:rsidRPr="00321CBD">
        <w:rPr>
          <w:rFonts w:ascii="Times New Roman" w:hAnsi="Times New Roman" w:cs="Times New Roman"/>
          <w:sz w:val="24"/>
          <w:szCs w:val="24"/>
          <w:lang w:val="lv-LV"/>
        </w:rPr>
        <w:t xml:space="preserve">28% un 30%, pie </w:t>
      </w:r>
      <w:r w:rsidR="000E186A">
        <w:rPr>
          <w:rFonts w:ascii="Times New Roman" w:hAnsi="Times New Roman" w:cs="Times New Roman"/>
          <w:sz w:val="24"/>
          <w:szCs w:val="24"/>
          <w:lang w:val="lv-LV"/>
        </w:rPr>
        <w:t>t</w:t>
      </w:r>
      <w:r w:rsidR="00442A4A" w:rsidRPr="00321CBD">
        <w:rPr>
          <w:rFonts w:ascii="Times New Roman" w:hAnsi="Times New Roman" w:cs="Times New Roman"/>
          <w:sz w:val="24"/>
          <w:szCs w:val="24"/>
          <w:lang w:val="lv-LV"/>
        </w:rPr>
        <w:t>am lielāka daļa pacientu bija reproduk</w:t>
      </w:r>
      <w:r w:rsidR="00A37A76">
        <w:rPr>
          <w:rFonts w:ascii="Times New Roman" w:hAnsi="Times New Roman" w:cs="Times New Roman"/>
          <w:sz w:val="24"/>
          <w:szCs w:val="24"/>
          <w:lang w:val="lv-LV"/>
        </w:rPr>
        <w:t>tīvā un perimenopauzes vecumā</w:t>
      </w:r>
      <w:r w:rsidR="00442A4A" w:rsidRPr="00321CBD">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11</w:t>
      </w:r>
      <w:r w:rsidR="00442A4A" w:rsidRPr="00321CBD">
        <w:rPr>
          <w:rFonts w:ascii="Times New Roman" w:hAnsi="Times New Roman" w:cs="Times New Roman"/>
          <w:sz w:val="24"/>
          <w:szCs w:val="24"/>
          <w:lang w:val="lv-LV"/>
        </w:rPr>
        <w:t xml:space="preserve"> </w:t>
      </w:r>
    </w:p>
    <w:p w14:paraId="4277D6A0" w14:textId="7BB473EB" w:rsidR="008454E9" w:rsidRPr="00321CBD" w:rsidRDefault="00970D79" w:rsidP="008A1720">
      <w:pPr>
        <w:spacing w:before="240"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Endometrija hiperplāzija un submukozie miomas mezgli ir </w:t>
      </w:r>
      <w:r w:rsidR="003B6FFC" w:rsidRPr="00321CBD">
        <w:rPr>
          <w:rFonts w:ascii="Times New Roman" w:hAnsi="Times New Roman" w:cs="Times New Roman"/>
          <w:sz w:val="24"/>
          <w:szCs w:val="24"/>
          <w:lang w:val="lv-LV"/>
        </w:rPr>
        <w:t>otrā</w:t>
      </w:r>
      <w:r w:rsidRPr="00321CBD">
        <w:rPr>
          <w:rFonts w:ascii="Times New Roman" w:hAnsi="Times New Roman" w:cs="Times New Roman"/>
          <w:sz w:val="24"/>
          <w:szCs w:val="24"/>
          <w:lang w:val="lv-LV"/>
        </w:rPr>
        <w:t xml:space="preserve"> </w:t>
      </w:r>
      <w:r w:rsidR="003B6FFC" w:rsidRPr="00321CBD">
        <w:rPr>
          <w:rFonts w:ascii="Times New Roman" w:hAnsi="Times New Roman" w:cs="Times New Roman"/>
          <w:sz w:val="24"/>
          <w:szCs w:val="24"/>
          <w:lang w:val="lv-LV"/>
        </w:rPr>
        <w:t xml:space="preserve">biežākā </w:t>
      </w:r>
      <w:r w:rsidRPr="00321CBD">
        <w:rPr>
          <w:rFonts w:ascii="Times New Roman" w:hAnsi="Times New Roman" w:cs="Times New Roman"/>
          <w:sz w:val="24"/>
          <w:szCs w:val="24"/>
          <w:lang w:val="lv-LV"/>
        </w:rPr>
        <w:t>patoloģija, kas tiek minēta par iemeslu patoloģiska</w:t>
      </w:r>
      <w:r w:rsidR="003B6FFC" w:rsidRPr="00321CBD">
        <w:rPr>
          <w:rFonts w:ascii="Times New Roman" w:hAnsi="Times New Roman" w:cs="Times New Roman"/>
          <w:sz w:val="24"/>
          <w:szCs w:val="24"/>
          <w:lang w:val="lv-LV"/>
        </w:rPr>
        <w:t>ja</w:t>
      </w:r>
      <w:r w:rsidRPr="00321CBD">
        <w:rPr>
          <w:rFonts w:ascii="Times New Roman" w:hAnsi="Times New Roman" w:cs="Times New Roman"/>
          <w:sz w:val="24"/>
          <w:szCs w:val="24"/>
          <w:lang w:val="lv-LV"/>
        </w:rPr>
        <w:t xml:space="preserve">i dzemdes asiņošanai </w:t>
      </w:r>
      <w:r w:rsidR="008454E9" w:rsidRPr="00321CBD">
        <w:rPr>
          <w:rFonts w:ascii="Times New Roman" w:hAnsi="Times New Roman" w:cs="Times New Roman"/>
          <w:sz w:val="24"/>
          <w:szCs w:val="24"/>
          <w:lang w:val="lv-LV"/>
        </w:rPr>
        <w:t xml:space="preserve">sievietēm </w:t>
      </w:r>
      <w:r w:rsidR="003B6FFC" w:rsidRPr="00321CBD">
        <w:rPr>
          <w:rFonts w:ascii="Times New Roman" w:hAnsi="Times New Roman" w:cs="Times New Roman"/>
          <w:sz w:val="24"/>
          <w:szCs w:val="24"/>
          <w:lang w:val="lv-LV"/>
        </w:rPr>
        <w:t>reproduktīvā</w:t>
      </w:r>
      <w:r w:rsidR="008454E9" w:rsidRPr="00321CBD">
        <w:rPr>
          <w:rFonts w:ascii="Times New Roman" w:hAnsi="Times New Roman" w:cs="Times New Roman"/>
          <w:sz w:val="24"/>
          <w:szCs w:val="24"/>
          <w:lang w:val="lv-LV"/>
        </w:rPr>
        <w:t xml:space="preserve"> vecumā. </w:t>
      </w:r>
      <w:r w:rsidR="000E186A">
        <w:rPr>
          <w:rFonts w:ascii="Times New Roman" w:hAnsi="Times New Roman" w:cs="Times New Roman"/>
          <w:sz w:val="24"/>
          <w:szCs w:val="24"/>
          <w:lang w:val="lv-LV"/>
        </w:rPr>
        <w:t xml:space="preserve">Taču </w:t>
      </w:r>
      <w:r w:rsidR="008454E9" w:rsidRPr="00321CBD">
        <w:rPr>
          <w:rFonts w:ascii="Times New Roman" w:hAnsi="Times New Roman" w:cs="Times New Roman"/>
          <w:sz w:val="24"/>
          <w:szCs w:val="24"/>
          <w:lang w:val="lv-LV"/>
        </w:rPr>
        <w:t xml:space="preserve">menopauzes un postmenopauzes vecumā papildus </w:t>
      </w:r>
      <w:r w:rsidR="00DF6635" w:rsidRPr="00321CBD">
        <w:rPr>
          <w:rFonts w:ascii="Times New Roman" w:hAnsi="Times New Roman" w:cs="Times New Roman"/>
          <w:sz w:val="24"/>
          <w:szCs w:val="24"/>
          <w:lang w:val="lv-LV"/>
        </w:rPr>
        <w:t>nosauktajām</w:t>
      </w:r>
      <w:r w:rsidR="008454E9" w:rsidRPr="00321CBD">
        <w:rPr>
          <w:rFonts w:ascii="Times New Roman" w:hAnsi="Times New Roman" w:cs="Times New Roman"/>
          <w:sz w:val="24"/>
          <w:szCs w:val="24"/>
          <w:lang w:val="lv-LV"/>
        </w:rPr>
        <w:t xml:space="preserve"> izmaiņām</w:t>
      </w:r>
      <w:r w:rsidR="00DF6635" w:rsidRPr="00321CBD">
        <w:rPr>
          <w:rFonts w:ascii="Times New Roman" w:hAnsi="Times New Roman" w:cs="Times New Roman"/>
          <w:sz w:val="24"/>
          <w:szCs w:val="24"/>
          <w:lang w:val="lv-LV"/>
        </w:rPr>
        <w:t xml:space="preserve"> par asiņošanas iemeslu</w:t>
      </w:r>
      <w:r w:rsidR="008454E9" w:rsidRPr="00321CBD">
        <w:rPr>
          <w:rFonts w:ascii="Times New Roman" w:hAnsi="Times New Roman" w:cs="Times New Roman"/>
          <w:sz w:val="24"/>
          <w:szCs w:val="24"/>
          <w:lang w:val="lv-LV"/>
        </w:rPr>
        <w:t xml:space="preserve"> bieži vien tiek nosauktas arī at</w:t>
      </w:r>
      <w:r w:rsidR="00A37A76">
        <w:rPr>
          <w:rFonts w:ascii="Times New Roman" w:hAnsi="Times New Roman" w:cs="Times New Roman"/>
          <w:sz w:val="24"/>
          <w:szCs w:val="24"/>
          <w:lang w:val="lv-LV"/>
        </w:rPr>
        <w:t>rofiskas endometrija pārmaiņas</w:t>
      </w:r>
      <w:r w:rsidR="000E186A">
        <w:rPr>
          <w:rFonts w:ascii="Times New Roman" w:hAnsi="Times New Roman" w:cs="Times New Roman"/>
          <w:sz w:val="24"/>
          <w:szCs w:val="24"/>
          <w:lang w:val="lv-LV"/>
        </w:rPr>
        <w:t>.</w:t>
      </w:r>
      <w:r w:rsidR="00A37A76" w:rsidRPr="00A37A76">
        <w:rPr>
          <w:rFonts w:ascii="Times New Roman" w:hAnsi="Times New Roman" w:cs="Times New Roman"/>
          <w:sz w:val="24"/>
          <w:szCs w:val="24"/>
          <w:vertAlign w:val="superscript"/>
          <w:lang w:val="lv-LV"/>
        </w:rPr>
        <w:t>8</w:t>
      </w:r>
      <w:r w:rsidR="008454E9" w:rsidRPr="00321CBD">
        <w:rPr>
          <w:rFonts w:ascii="Times New Roman" w:hAnsi="Times New Roman" w:cs="Times New Roman"/>
          <w:sz w:val="24"/>
          <w:szCs w:val="24"/>
          <w:lang w:val="lv-LV"/>
        </w:rPr>
        <w:t xml:space="preserve"> </w:t>
      </w:r>
      <w:r w:rsidR="000E186A">
        <w:rPr>
          <w:rFonts w:ascii="Times New Roman" w:hAnsi="Times New Roman" w:cs="Times New Roman"/>
          <w:sz w:val="24"/>
          <w:szCs w:val="24"/>
          <w:lang w:val="lv-LV"/>
        </w:rPr>
        <w:t xml:space="preserve">Savukārt </w:t>
      </w:r>
      <w:r w:rsidR="00B52E62" w:rsidRPr="00321CBD">
        <w:rPr>
          <w:rFonts w:ascii="Times New Roman" w:hAnsi="Times New Roman" w:cs="Times New Roman"/>
          <w:sz w:val="24"/>
          <w:szCs w:val="24"/>
          <w:lang w:val="lv-LV"/>
        </w:rPr>
        <w:t>Miomas mezgli</w:t>
      </w:r>
      <w:r w:rsidR="000E186A">
        <w:rPr>
          <w:rFonts w:ascii="Times New Roman" w:hAnsi="Times New Roman" w:cs="Times New Roman"/>
          <w:sz w:val="24"/>
          <w:szCs w:val="24"/>
          <w:lang w:val="lv-LV"/>
        </w:rPr>
        <w:t xml:space="preserve"> sievietēm </w:t>
      </w:r>
      <w:r w:rsidR="00B52E62" w:rsidRPr="00321CBD">
        <w:rPr>
          <w:rFonts w:ascii="Times New Roman" w:hAnsi="Times New Roman" w:cs="Times New Roman"/>
          <w:sz w:val="24"/>
          <w:szCs w:val="24"/>
          <w:lang w:val="lv-LV"/>
        </w:rPr>
        <w:t xml:space="preserve">postmenopauzes </w:t>
      </w:r>
      <w:r w:rsidR="000E186A">
        <w:rPr>
          <w:rFonts w:ascii="Times New Roman" w:hAnsi="Times New Roman" w:cs="Times New Roman"/>
          <w:sz w:val="24"/>
          <w:szCs w:val="24"/>
          <w:lang w:val="lv-LV"/>
        </w:rPr>
        <w:t xml:space="preserve">periodā </w:t>
      </w:r>
      <w:r w:rsidR="00B52E62" w:rsidRPr="00321CBD">
        <w:rPr>
          <w:rFonts w:ascii="Times New Roman" w:hAnsi="Times New Roman" w:cs="Times New Roman"/>
          <w:sz w:val="24"/>
          <w:szCs w:val="24"/>
          <w:lang w:val="lv-LV"/>
        </w:rPr>
        <w:t>novēroti daudz retāk, ņemot vērā to patofiziolo</w:t>
      </w:r>
      <w:r w:rsidR="00081599" w:rsidRPr="00321CBD">
        <w:rPr>
          <w:rFonts w:ascii="Times New Roman" w:hAnsi="Times New Roman" w:cs="Times New Roman"/>
          <w:sz w:val="24"/>
          <w:szCs w:val="24"/>
          <w:lang w:val="lv-LV"/>
        </w:rPr>
        <w:t>ģ</w:t>
      </w:r>
      <w:r w:rsidR="00B52E62" w:rsidRPr="00321CBD">
        <w:rPr>
          <w:rFonts w:ascii="Times New Roman" w:hAnsi="Times New Roman" w:cs="Times New Roman"/>
          <w:sz w:val="24"/>
          <w:szCs w:val="24"/>
          <w:lang w:val="lv-LV"/>
        </w:rPr>
        <w:t xml:space="preserve">isko sasaisti </w:t>
      </w:r>
      <w:r w:rsidR="00B52E62" w:rsidRPr="00321CBD">
        <w:rPr>
          <w:rFonts w:ascii="Times New Roman" w:hAnsi="Times New Roman" w:cs="Times New Roman"/>
          <w:sz w:val="24"/>
          <w:szCs w:val="24"/>
          <w:lang w:val="lv-LV"/>
        </w:rPr>
        <w:lastRenderedPageBreak/>
        <w:t xml:space="preserve">ar estrogēnu līmeni asinīs. </w:t>
      </w:r>
      <w:r w:rsidR="00C3025D" w:rsidRPr="00321CBD">
        <w:rPr>
          <w:rFonts w:ascii="Times New Roman" w:hAnsi="Times New Roman" w:cs="Times New Roman"/>
          <w:sz w:val="24"/>
          <w:szCs w:val="24"/>
          <w:lang w:val="lv-LV"/>
        </w:rPr>
        <w:t xml:space="preserve">Tas skaidri ir parādīts </w:t>
      </w:r>
      <w:r w:rsidR="00081599" w:rsidRPr="00321CBD">
        <w:rPr>
          <w:rFonts w:ascii="Times New Roman" w:hAnsi="Times New Roman" w:cs="Times New Roman"/>
          <w:sz w:val="24"/>
          <w:szCs w:val="24"/>
          <w:lang w:val="lv-LV"/>
        </w:rPr>
        <w:t>Lielbritānijas</w:t>
      </w:r>
      <w:r w:rsidR="00C3025D" w:rsidRPr="00321CBD">
        <w:rPr>
          <w:rFonts w:ascii="Times New Roman" w:hAnsi="Times New Roman" w:cs="Times New Roman"/>
          <w:sz w:val="24"/>
          <w:szCs w:val="24"/>
          <w:lang w:val="lv-LV"/>
        </w:rPr>
        <w:t xml:space="preserve"> </w:t>
      </w:r>
      <w:r w:rsidR="00081599" w:rsidRPr="00321CBD">
        <w:rPr>
          <w:rFonts w:ascii="Times New Roman" w:hAnsi="Times New Roman" w:cs="Times New Roman"/>
          <w:sz w:val="24"/>
          <w:szCs w:val="24"/>
          <w:lang w:val="lv-LV"/>
        </w:rPr>
        <w:t>pētījumā</w:t>
      </w:r>
      <w:r w:rsidR="00C3025D" w:rsidRPr="00321CBD">
        <w:rPr>
          <w:rFonts w:ascii="Times New Roman" w:hAnsi="Times New Roman" w:cs="Times New Roman"/>
          <w:sz w:val="24"/>
          <w:szCs w:val="24"/>
          <w:lang w:val="lv-LV"/>
        </w:rPr>
        <w:t>, kur miomas mezgli tika konstat</w:t>
      </w:r>
      <w:r w:rsidR="000E186A">
        <w:rPr>
          <w:rFonts w:ascii="Times New Roman" w:hAnsi="Times New Roman" w:cs="Times New Roman"/>
          <w:sz w:val="24"/>
          <w:szCs w:val="24"/>
          <w:lang w:val="lv-LV"/>
        </w:rPr>
        <w:t>ēti</w:t>
      </w:r>
      <w:r w:rsidR="00C3025D" w:rsidRPr="00321CBD">
        <w:rPr>
          <w:rFonts w:ascii="Times New Roman" w:hAnsi="Times New Roman" w:cs="Times New Roman"/>
          <w:sz w:val="24"/>
          <w:szCs w:val="24"/>
          <w:lang w:val="lv-LV"/>
        </w:rPr>
        <w:t xml:space="preserve"> 64% </w:t>
      </w:r>
      <w:r w:rsidR="00A37A76">
        <w:rPr>
          <w:rFonts w:ascii="Times New Roman" w:hAnsi="Times New Roman" w:cs="Times New Roman"/>
          <w:sz w:val="24"/>
          <w:szCs w:val="24"/>
          <w:lang w:val="lv-LV"/>
        </w:rPr>
        <w:t>premenopauzes vecuma sievietēm.</w:t>
      </w:r>
      <w:r w:rsidR="00A37A76" w:rsidRPr="00A37A76">
        <w:rPr>
          <w:rFonts w:ascii="Times New Roman" w:hAnsi="Times New Roman" w:cs="Times New Roman"/>
          <w:sz w:val="24"/>
          <w:szCs w:val="24"/>
          <w:vertAlign w:val="superscript"/>
          <w:lang w:val="lv-LV"/>
        </w:rPr>
        <w:t>10</w:t>
      </w:r>
      <w:r w:rsidR="00C3025D" w:rsidRPr="00321CBD">
        <w:rPr>
          <w:rFonts w:ascii="Times New Roman" w:hAnsi="Times New Roman" w:cs="Times New Roman"/>
          <w:sz w:val="24"/>
          <w:szCs w:val="24"/>
          <w:lang w:val="lv-LV"/>
        </w:rPr>
        <w:t xml:space="preserve"> </w:t>
      </w:r>
    </w:p>
    <w:p w14:paraId="0A718AC6" w14:textId="39924B78" w:rsidR="009E6816" w:rsidRPr="00321CBD" w:rsidRDefault="009E6816" w:rsidP="008A1720">
      <w:pPr>
        <w:spacing w:before="240"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Latvijā diemžēl nav datu par dzemdes dobuma patoloģijas struktūru un prevalenci sievietēm ar patoloģisku dzemdes asiņošanu.</w:t>
      </w:r>
    </w:p>
    <w:p w14:paraId="40E58ED1" w14:textId="77777777" w:rsidR="00C70AFF" w:rsidRPr="00321CBD" w:rsidRDefault="00C70AFF"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Diagnostika</w:t>
      </w:r>
    </w:p>
    <w:p w14:paraId="41A4CD4E" w14:textId="39B8CAB1" w:rsidR="00DA2221" w:rsidRPr="00321CBD" w:rsidRDefault="006F638D" w:rsidP="008A1720">
      <w:pPr>
        <w:spacing w:line="360" w:lineRule="auto"/>
        <w:ind w:firstLine="36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Patoloģisk</w:t>
      </w:r>
      <w:r w:rsidR="000928CA" w:rsidRPr="00321CBD">
        <w:rPr>
          <w:rFonts w:ascii="Times New Roman" w:hAnsi="Times New Roman" w:cs="Times New Roman"/>
          <w:sz w:val="24"/>
          <w:szCs w:val="24"/>
          <w:lang w:val="lv-LV"/>
        </w:rPr>
        <w:t>ā</w:t>
      </w:r>
      <w:r w:rsidRPr="00321CBD">
        <w:rPr>
          <w:rFonts w:ascii="Times New Roman" w:hAnsi="Times New Roman" w:cs="Times New Roman"/>
          <w:sz w:val="24"/>
          <w:szCs w:val="24"/>
          <w:lang w:val="lv-LV"/>
        </w:rPr>
        <w:t>s dzemdes asiņošanas diagnostika ir visai sarežģīta, ņemot vērā to patoloģiju klāstu, kur</w:t>
      </w:r>
      <w:r w:rsidR="000928CA" w:rsidRPr="00321CBD">
        <w:rPr>
          <w:rFonts w:ascii="Times New Roman" w:hAnsi="Times New Roman" w:cs="Times New Roman"/>
          <w:sz w:val="24"/>
          <w:szCs w:val="24"/>
          <w:lang w:val="lv-LV"/>
        </w:rPr>
        <w:t>i</w:t>
      </w:r>
      <w:r w:rsidRPr="00321CBD">
        <w:rPr>
          <w:rFonts w:ascii="Times New Roman" w:hAnsi="Times New Roman" w:cs="Times New Roman"/>
          <w:sz w:val="24"/>
          <w:szCs w:val="24"/>
          <w:lang w:val="lv-LV"/>
        </w:rPr>
        <w:t xml:space="preserve"> izpaužas ar patoloģisku asiņošanu. Tomēr </w:t>
      </w:r>
      <w:r w:rsidR="000E186A">
        <w:rPr>
          <w:rFonts w:ascii="Times New Roman" w:hAnsi="Times New Roman" w:cs="Times New Roman"/>
          <w:sz w:val="24"/>
          <w:szCs w:val="24"/>
          <w:lang w:val="lv-LV"/>
        </w:rPr>
        <w:t xml:space="preserve">diagnostikai </w:t>
      </w:r>
      <w:r w:rsidRPr="00321CBD">
        <w:rPr>
          <w:rFonts w:ascii="Times New Roman" w:hAnsi="Times New Roman" w:cs="Times New Roman"/>
          <w:sz w:val="24"/>
          <w:szCs w:val="24"/>
          <w:lang w:val="lv-LV"/>
        </w:rPr>
        <w:t>ir noteikti pietur</w:t>
      </w:r>
      <w:r w:rsidR="000E186A">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s punkti. </w:t>
      </w:r>
      <w:r w:rsidR="00FA0AB5" w:rsidRPr="00321CBD">
        <w:rPr>
          <w:rFonts w:ascii="Times New Roman" w:hAnsi="Times New Roman" w:cs="Times New Roman"/>
          <w:sz w:val="24"/>
          <w:szCs w:val="24"/>
          <w:lang w:val="lv-LV"/>
        </w:rPr>
        <w:t>FIGO jaun</w:t>
      </w:r>
      <w:r w:rsidR="00767964" w:rsidRPr="00321CBD">
        <w:rPr>
          <w:rFonts w:ascii="Times New Roman" w:hAnsi="Times New Roman" w:cs="Times New Roman"/>
          <w:sz w:val="24"/>
          <w:szCs w:val="24"/>
          <w:lang w:val="lv-LV"/>
        </w:rPr>
        <w:t>ajā</w:t>
      </w:r>
      <w:r w:rsidR="00FA0AB5" w:rsidRPr="00321CBD">
        <w:rPr>
          <w:rFonts w:ascii="Times New Roman" w:hAnsi="Times New Roman" w:cs="Times New Roman"/>
          <w:sz w:val="24"/>
          <w:szCs w:val="24"/>
          <w:lang w:val="lv-LV"/>
        </w:rPr>
        <w:t xml:space="preserve"> klasifikācij</w:t>
      </w:r>
      <w:r w:rsidR="00767964" w:rsidRPr="00321CBD">
        <w:rPr>
          <w:rFonts w:ascii="Times New Roman" w:hAnsi="Times New Roman" w:cs="Times New Roman"/>
          <w:sz w:val="24"/>
          <w:szCs w:val="24"/>
          <w:lang w:val="lv-LV"/>
        </w:rPr>
        <w:t>ā</w:t>
      </w:r>
      <w:r w:rsidR="00DF6635" w:rsidRPr="00321CBD">
        <w:rPr>
          <w:rFonts w:ascii="Times New Roman" w:hAnsi="Times New Roman" w:cs="Times New Roman"/>
          <w:sz w:val="24"/>
          <w:szCs w:val="24"/>
          <w:lang w:val="lv-LV"/>
        </w:rPr>
        <w:t xml:space="preserve"> piedāvāja </w:t>
      </w:r>
      <w:r w:rsidR="00FA0AB5" w:rsidRPr="00321CBD">
        <w:rPr>
          <w:rFonts w:ascii="Times New Roman" w:hAnsi="Times New Roman" w:cs="Times New Roman"/>
          <w:sz w:val="24"/>
          <w:szCs w:val="24"/>
          <w:lang w:val="lv-LV"/>
        </w:rPr>
        <w:t>izmeklēšanas algoritmu, kur tiek uzsvērti 3 galvenie virzieni:</w:t>
      </w:r>
    </w:p>
    <w:p w14:paraId="6A64F9F5" w14:textId="0B84A6C6" w:rsidR="00FA0AB5" w:rsidRPr="00321CBD" w:rsidRDefault="00FA0AB5" w:rsidP="008A1720">
      <w:pPr>
        <w:pStyle w:val="ListParagraph"/>
        <w:numPr>
          <w:ilvl w:val="0"/>
          <w:numId w:val="7"/>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Anamnēze </w:t>
      </w:r>
      <w:r w:rsidR="00C87496"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C87496" w:rsidRPr="00321CBD">
        <w:rPr>
          <w:rFonts w:ascii="Times New Roman" w:hAnsi="Times New Roman" w:cs="Times New Roman"/>
          <w:sz w:val="24"/>
          <w:szCs w:val="24"/>
          <w:lang w:val="lv-LV"/>
        </w:rPr>
        <w:t xml:space="preserve">dod iespēju atlasīt izmeklēšanas virzienu un izslēgt vai rast </w:t>
      </w:r>
      <w:r w:rsidR="00767964" w:rsidRPr="00321CBD">
        <w:rPr>
          <w:rFonts w:ascii="Times New Roman" w:hAnsi="Times New Roman" w:cs="Times New Roman"/>
          <w:sz w:val="24"/>
          <w:szCs w:val="24"/>
          <w:lang w:val="lv-LV"/>
        </w:rPr>
        <w:t>aizdomas</w:t>
      </w:r>
      <w:r w:rsidR="00C87496" w:rsidRPr="00321CBD">
        <w:rPr>
          <w:rFonts w:ascii="Times New Roman" w:hAnsi="Times New Roman" w:cs="Times New Roman"/>
          <w:sz w:val="24"/>
          <w:szCs w:val="24"/>
          <w:lang w:val="lv-LV"/>
        </w:rPr>
        <w:t xml:space="preserve"> par daž</w:t>
      </w:r>
      <w:r w:rsidR="00767964" w:rsidRPr="00321CBD">
        <w:rPr>
          <w:rFonts w:ascii="Times New Roman" w:hAnsi="Times New Roman" w:cs="Times New Roman"/>
          <w:sz w:val="24"/>
          <w:szCs w:val="24"/>
          <w:lang w:val="lv-LV"/>
        </w:rPr>
        <w:t>ād</w:t>
      </w:r>
      <w:r w:rsidR="00C87496" w:rsidRPr="00321CBD">
        <w:rPr>
          <w:rFonts w:ascii="Times New Roman" w:hAnsi="Times New Roman" w:cs="Times New Roman"/>
          <w:sz w:val="24"/>
          <w:szCs w:val="24"/>
          <w:lang w:val="lv-LV"/>
        </w:rPr>
        <w:t xml:space="preserve">ām </w:t>
      </w:r>
      <w:r w:rsidR="00767964" w:rsidRPr="00321CBD">
        <w:rPr>
          <w:rFonts w:ascii="Times New Roman" w:hAnsi="Times New Roman" w:cs="Times New Roman"/>
          <w:sz w:val="24"/>
          <w:szCs w:val="24"/>
          <w:lang w:val="lv-LV"/>
        </w:rPr>
        <w:t>ģenētiskām</w:t>
      </w:r>
      <w:r w:rsidR="00C87496" w:rsidRPr="00321CBD">
        <w:rPr>
          <w:rFonts w:ascii="Times New Roman" w:hAnsi="Times New Roman" w:cs="Times New Roman"/>
          <w:sz w:val="24"/>
          <w:szCs w:val="24"/>
          <w:lang w:val="lv-LV"/>
        </w:rPr>
        <w:t xml:space="preserve"> patoloģijām. </w:t>
      </w:r>
    </w:p>
    <w:p w14:paraId="3ED616ED" w14:textId="3ABC2308" w:rsidR="00C87496" w:rsidRPr="00321CBD" w:rsidRDefault="00C87496" w:rsidP="008A1720">
      <w:pPr>
        <w:pStyle w:val="ListParagraph"/>
        <w:numPr>
          <w:ilvl w:val="0"/>
          <w:numId w:val="7"/>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Papildus izmeklēšana – asins analīze</w:t>
      </w:r>
      <w:r w:rsidR="00767964" w:rsidRPr="00321CBD">
        <w:rPr>
          <w:rFonts w:ascii="Times New Roman" w:hAnsi="Times New Roman" w:cs="Times New Roman"/>
          <w:sz w:val="24"/>
          <w:szCs w:val="24"/>
          <w:lang w:val="lv-LV"/>
        </w:rPr>
        <w:t>s</w:t>
      </w:r>
      <w:r w:rsidRPr="00321CBD">
        <w:rPr>
          <w:rFonts w:ascii="Times New Roman" w:hAnsi="Times New Roman" w:cs="Times New Roman"/>
          <w:sz w:val="24"/>
          <w:szCs w:val="24"/>
          <w:lang w:val="lv-LV"/>
        </w:rPr>
        <w:t>, hormonālas proves</w:t>
      </w:r>
      <w:r w:rsidR="00767964" w:rsidRPr="00321CBD">
        <w:rPr>
          <w:rFonts w:ascii="Times New Roman" w:hAnsi="Times New Roman" w:cs="Times New Roman"/>
          <w:sz w:val="24"/>
          <w:szCs w:val="24"/>
          <w:lang w:val="lv-LV"/>
        </w:rPr>
        <w:t>, kas tiek veiktas,</w:t>
      </w:r>
      <w:r w:rsidRPr="00321CBD">
        <w:rPr>
          <w:rFonts w:ascii="Times New Roman" w:hAnsi="Times New Roman" w:cs="Times New Roman"/>
          <w:sz w:val="24"/>
          <w:szCs w:val="24"/>
          <w:lang w:val="lv-LV"/>
        </w:rPr>
        <w:t xml:space="preserve"> lai noskaidrotu anovulācijas iespēju</w:t>
      </w:r>
      <w:r w:rsidR="00767964"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un koagulop</w:t>
      </w:r>
      <w:r w:rsidR="00767964" w:rsidRPr="00321CBD">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tiju izmeklēšanas testi. </w:t>
      </w:r>
      <w:r w:rsidR="00FD0004" w:rsidRPr="00321CBD">
        <w:rPr>
          <w:rFonts w:ascii="Times New Roman" w:hAnsi="Times New Roman" w:cs="Times New Roman"/>
          <w:sz w:val="24"/>
          <w:szCs w:val="24"/>
          <w:lang w:val="lv-LV"/>
        </w:rPr>
        <w:t xml:space="preserve">Papildinājums </w:t>
      </w:r>
      <w:r w:rsidRPr="00321CBD">
        <w:rPr>
          <w:rFonts w:ascii="Times New Roman" w:hAnsi="Times New Roman" w:cs="Times New Roman"/>
          <w:sz w:val="24"/>
          <w:szCs w:val="24"/>
          <w:lang w:val="lv-LV"/>
        </w:rPr>
        <w:t>anamnēzei, lai varētu izslēgt asiņošanas iemeslu COEIN daļā</w:t>
      </w:r>
      <w:r w:rsidR="00FD0004" w:rsidRPr="00321CBD">
        <w:rPr>
          <w:rFonts w:ascii="Times New Roman" w:hAnsi="Times New Roman" w:cs="Times New Roman"/>
          <w:sz w:val="24"/>
          <w:szCs w:val="24"/>
          <w:lang w:val="lv-LV"/>
        </w:rPr>
        <w:t>.</w:t>
      </w:r>
    </w:p>
    <w:p w14:paraId="363A63A8" w14:textId="7148F057" w:rsidR="00C87496" w:rsidRPr="00321CBD" w:rsidRDefault="00C87496" w:rsidP="008A1720">
      <w:pPr>
        <w:pStyle w:val="ListParagraph"/>
        <w:numPr>
          <w:ilvl w:val="0"/>
          <w:numId w:val="7"/>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Dzemdes un dzemdes dobuma izvērtēšana – pasākumu </w:t>
      </w:r>
      <w:r w:rsidR="00FD0004" w:rsidRPr="00321CBD">
        <w:rPr>
          <w:rFonts w:ascii="Times New Roman" w:hAnsi="Times New Roman" w:cs="Times New Roman"/>
          <w:sz w:val="24"/>
          <w:szCs w:val="24"/>
          <w:lang w:val="lv-LV"/>
        </w:rPr>
        <w:t>komplekss</w:t>
      </w:r>
      <w:r w:rsidRPr="00321CBD">
        <w:rPr>
          <w:rFonts w:ascii="Times New Roman" w:hAnsi="Times New Roman" w:cs="Times New Roman"/>
          <w:sz w:val="24"/>
          <w:szCs w:val="24"/>
          <w:lang w:val="lv-LV"/>
        </w:rPr>
        <w:t xml:space="preserve">, lai </w:t>
      </w:r>
      <w:r w:rsidR="00FD0004" w:rsidRPr="00321CBD">
        <w:rPr>
          <w:rFonts w:ascii="Times New Roman" w:hAnsi="Times New Roman" w:cs="Times New Roman"/>
          <w:sz w:val="24"/>
          <w:szCs w:val="24"/>
          <w:lang w:val="lv-LV"/>
        </w:rPr>
        <w:t xml:space="preserve">atpazīt </w:t>
      </w:r>
      <w:r w:rsidRPr="00321CBD">
        <w:rPr>
          <w:rFonts w:ascii="Times New Roman" w:hAnsi="Times New Roman" w:cs="Times New Roman"/>
          <w:sz w:val="24"/>
          <w:szCs w:val="24"/>
          <w:lang w:val="lv-LV"/>
        </w:rPr>
        <w:t>strukturālas dzemdes patoloģijas, kas var izsaukt patoloģisku dzemdes asiņošanu.</w:t>
      </w:r>
      <w:r w:rsidR="002C5C7A">
        <w:rPr>
          <w:rFonts w:ascii="Times New Roman" w:hAnsi="Times New Roman" w:cs="Times New Roman"/>
          <w:sz w:val="24"/>
          <w:szCs w:val="24"/>
          <w:lang w:val="lv-LV"/>
        </w:rPr>
        <w:t xml:space="preserve"> Domāta PALM daļas izvērtēšanai.</w:t>
      </w:r>
      <w:r w:rsidR="002C5C7A" w:rsidRPr="002C5C7A">
        <w:rPr>
          <w:rFonts w:ascii="Times New Roman" w:hAnsi="Times New Roman" w:cs="Times New Roman"/>
          <w:sz w:val="24"/>
          <w:szCs w:val="24"/>
          <w:vertAlign w:val="superscript"/>
          <w:lang w:val="lv-LV"/>
        </w:rPr>
        <w:t>4</w:t>
      </w:r>
    </w:p>
    <w:p w14:paraId="790DEA89" w14:textId="2AC77F0E" w:rsidR="00D95712" w:rsidRPr="00321CBD" w:rsidRDefault="002C5C7A"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1E1B7DB2" wp14:editId="481834F5">
            <wp:simplePos x="0" y="0"/>
            <wp:positionH relativeFrom="column">
              <wp:posOffset>319405</wp:posOffset>
            </wp:positionH>
            <wp:positionV relativeFrom="paragraph">
              <wp:posOffset>2958465</wp:posOffset>
            </wp:positionV>
            <wp:extent cx="4933315" cy="3561080"/>
            <wp:effectExtent l="0" t="0" r="635" b="127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3315" cy="356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CBD">
        <w:rPr>
          <w:rFonts w:ascii="Times New Roman" w:hAnsi="Times New Roman" w:cs="Times New Roman"/>
          <w:noProof/>
          <w:sz w:val="24"/>
          <w:szCs w:val="24"/>
        </w:rPr>
        <w:drawing>
          <wp:anchor distT="0" distB="0" distL="114300" distR="114300" simplePos="0" relativeHeight="251659264" behindDoc="1" locked="0" layoutInCell="1" allowOverlap="1" wp14:anchorId="066C4E7D" wp14:editId="5979B0BD">
            <wp:simplePos x="0" y="0"/>
            <wp:positionH relativeFrom="column">
              <wp:posOffset>662940</wp:posOffset>
            </wp:positionH>
            <wp:positionV relativeFrom="paragraph">
              <wp:posOffset>-26670</wp:posOffset>
            </wp:positionV>
            <wp:extent cx="4582160" cy="2663190"/>
            <wp:effectExtent l="0" t="0" r="889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2160" cy="2663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CB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8248D07" wp14:editId="426216F9">
                <wp:simplePos x="0" y="0"/>
                <wp:positionH relativeFrom="column">
                  <wp:posOffset>37721</wp:posOffset>
                </wp:positionH>
                <wp:positionV relativeFrom="paragraph">
                  <wp:posOffset>4091289</wp:posOffset>
                </wp:positionV>
                <wp:extent cx="5949537" cy="140398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537" cy="1403985"/>
                        </a:xfrm>
                        <a:prstGeom prst="rect">
                          <a:avLst/>
                        </a:prstGeom>
                        <a:solidFill>
                          <a:srgbClr val="FFFFFF"/>
                        </a:solidFill>
                        <a:ln w="9525">
                          <a:noFill/>
                          <a:miter lim="800000"/>
                          <a:headEnd/>
                          <a:tailEnd/>
                        </a:ln>
                      </wps:spPr>
                      <wps:txbx>
                        <w:txbxContent>
                          <w:p w14:paraId="08D5A0BE" w14:textId="68EC0535" w:rsidR="00090782" w:rsidRPr="00D95712" w:rsidRDefault="00090782" w:rsidP="002C5C7A">
                            <w:pPr>
                              <w:pBdr>
                                <w:top w:val="single" w:sz="4" w:space="1" w:color="auto"/>
                              </w:pBdr>
                              <w:rPr>
                                <w:rFonts w:ascii="Times New Roman" w:hAnsi="Times New Roman" w:cs="Times New Roman"/>
                                <w:sz w:val="24"/>
                                <w:szCs w:val="24"/>
                                <w:lang w:val="lv-LV"/>
                              </w:rPr>
                            </w:pPr>
                            <w:r>
                              <w:rPr>
                                <w:rFonts w:ascii="Times New Roman" w:hAnsi="Times New Roman" w:cs="Times New Roman"/>
                                <w:sz w:val="24"/>
                                <w:szCs w:val="24"/>
                                <w:lang w:val="lv-LV"/>
                              </w:rPr>
                              <w:t>Hroniskas dzemdes asiņošanas izmeklēšanas algoritms pēc FIGO.</w:t>
                            </w:r>
                            <w:r w:rsidRPr="002C5C7A">
                              <w:rPr>
                                <w:rFonts w:ascii="Times New Roman" w:hAnsi="Times New Roman" w:cs="Times New Roman"/>
                                <w:sz w:val="24"/>
                                <w:szCs w:val="24"/>
                                <w:vertAlign w:val="superscript"/>
                                <w:lang w:val="lv-LV"/>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95pt;margin-top:322.15pt;width:468.4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" stroked="f">
                <v:textbox style="mso-fit-shape-to-text:t">
                  <w:txbxContent>
                    <w:p w14:paraId="08D5A0BE" w14:textId="68EC0535" w:rsidR="00C717B0" w:rsidRPr="00D95712" w:rsidRDefault="00C717B0" w:rsidP="002C5C7A">
                      <w:pPr>
                        <w:pBdr>
                          <w:top w:val="single" w:sz="4" w:space="1" w:color="auto"/>
                        </w:pBdr>
                        <w:rPr>
                          <w:rFonts w:ascii="Times New Roman" w:hAnsi="Times New Roman" w:cs="Times New Roman"/>
                          <w:sz w:val="24"/>
                          <w:szCs w:val="24"/>
                          <w:lang w:val="lv-LV"/>
                        </w:rPr>
                      </w:pPr>
                      <w:r>
                        <w:rPr>
                          <w:rFonts w:ascii="Times New Roman" w:hAnsi="Times New Roman" w:cs="Times New Roman"/>
                          <w:sz w:val="24"/>
                          <w:szCs w:val="24"/>
                          <w:lang w:val="lv-LV"/>
                        </w:rPr>
                        <w:t>Hroniskas dzemdes asiņošanas izmeklēšanas algoritms pēc FIGO.</w:t>
                      </w:r>
                      <w:r w:rsidRPr="002C5C7A">
                        <w:rPr>
                          <w:rFonts w:ascii="Times New Roman" w:hAnsi="Times New Roman" w:cs="Times New Roman"/>
                          <w:sz w:val="24"/>
                          <w:szCs w:val="24"/>
                          <w:vertAlign w:val="superscript"/>
                          <w:lang w:val="lv-LV"/>
                        </w:rPr>
                        <w:t>5</w:t>
                      </w:r>
                    </w:p>
                  </w:txbxContent>
                </v:textbox>
              </v:shape>
            </w:pict>
          </mc:Fallback>
        </mc:AlternateContent>
      </w:r>
    </w:p>
    <w:p w14:paraId="5E2F47DC" w14:textId="3D94A936" w:rsidR="002C5C7A" w:rsidRDefault="002C5C7A" w:rsidP="009E6816">
      <w:pPr>
        <w:rPr>
          <w:rFonts w:ascii="Times New Roman" w:hAnsi="Times New Roman" w:cs="Times New Roman"/>
          <w:sz w:val="24"/>
          <w:szCs w:val="24"/>
          <w:lang w:val="lv-LV"/>
        </w:rPr>
      </w:pPr>
    </w:p>
    <w:p w14:paraId="25EB870D" w14:textId="3FDD7FBA" w:rsidR="00C87496" w:rsidRPr="00321CBD" w:rsidRDefault="00D54DE6" w:rsidP="009E6816">
      <w:pPr>
        <w:rPr>
          <w:rFonts w:ascii="Times New Roman" w:hAnsi="Times New Roman" w:cs="Times New Roman"/>
          <w:sz w:val="24"/>
          <w:szCs w:val="24"/>
          <w:lang w:val="lv-LV"/>
        </w:rPr>
      </w:pPr>
      <w:r w:rsidRPr="00321CBD">
        <w:rPr>
          <w:rFonts w:ascii="Times New Roman" w:hAnsi="Times New Roman" w:cs="Times New Roman"/>
          <w:sz w:val="24"/>
          <w:szCs w:val="24"/>
          <w:lang w:val="lv-LV"/>
        </w:rPr>
        <w:t>D</w:t>
      </w:r>
      <w:r w:rsidR="00C87496" w:rsidRPr="00321CBD">
        <w:rPr>
          <w:rFonts w:ascii="Times New Roman" w:hAnsi="Times New Roman" w:cs="Times New Roman"/>
          <w:sz w:val="24"/>
          <w:szCs w:val="24"/>
          <w:lang w:val="lv-LV"/>
        </w:rPr>
        <w:t>zemd</w:t>
      </w:r>
      <w:r w:rsidR="00B71D5B" w:rsidRPr="00321CBD">
        <w:rPr>
          <w:rFonts w:ascii="Times New Roman" w:hAnsi="Times New Roman" w:cs="Times New Roman"/>
          <w:sz w:val="24"/>
          <w:szCs w:val="24"/>
          <w:lang w:val="lv-LV"/>
        </w:rPr>
        <w:t>es</w:t>
      </w:r>
      <w:r w:rsidR="00C87496" w:rsidRPr="00321CBD">
        <w:rPr>
          <w:rFonts w:ascii="Times New Roman" w:hAnsi="Times New Roman" w:cs="Times New Roman"/>
          <w:sz w:val="24"/>
          <w:szCs w:val="24"/>
          <w:lang w:val="lv-LV"/>
        </w:rPr>
        <w:t xml:space="preserve"> un dzemdes dobum</w:t>
      </w:r>
      <w:r w:rsidR="00B71D5B" w:rsidRPr="00321CBD">
        <w:rPr>
          <w:rFonts w:ascii="Times New Roman" w:hAnsi="Times New Roman" w:cs="Times New Roman"/>
          <w:sz w:val="24"/>
          <w:szCs w:val="24"/>
          <w:lang w:val="lv-LV"/>
        </w:rPr>
        <w:t>a izvērtēšanai</w:t>
      </w:r>
      <w:r w:rsidR="00C87496" w:rsidRPr="00321CBD">
        <w:rPr>
          <w:rFonts w:ascii="Times New Roman" w:hAnsi="Times New Roman" w:cs="Times New Roman"/>
          <w:sz w:val="24"/>
          <w:szCs w:val="24"/>
          <w:lang w:val="lv-LV"/>
        </w:rPr>
        <w:t xml:space="preserve"> ir </w:t>
      </w:r>
      <w:r w:rsidR="00B71D5B" w:rsidRPr="00321CBD">
        <w:rPr>
          <w:rFonts w:ascii="Times New Roman" w:hAnsi="Times New Roman" w:cs="Times New Roman"/>
          <w:sz w:val="24"/>
          <w:szCs w:val="24"/>
          <w:lang w:val="lv-LV"/>
        </w:rPr>
        <w:t>pieejamas</w:t>
      </w:r>
      <w:r w:rsidR="00C87496" w:rsidRPr="00321CBD">
        <w:rPr>
          <w:rFonts w:ascii="Times New Roman" w:hAnsi="Times New Roman" w:cs="Times New Roman"/>
          <w:sz w:val="24"/>
          <w:szCs w:val="24"/>
          <w:lang w:val="lv-LV"/>
        </w:rPr>
        <w:t xml:space="preserve"> dažādas metodes, </w:t>
      </w:r>
      <w:r w:rsidR="00B71D5B" w:rsidRPr="00321CBD">
        <w:rPr>
          <w:rFonts w:ascii="Times New Roman" w:hAnsi="Times New Roman" w:cs="Times New Roman"/>
          <w:sz w:val="24"/>
          <w:szCs w:val="24"/>
          <w:lang w:val="lv-LV"/>
        </w:rPr>
        <w:t xml:space="preserve">kas </w:t>
      </w:r>
      <w:r w:rsidR="00C87496" w:rsidRPr="00321CBD">
        <w:rPr>
          <w:rFonts w:ascii="Times New Roman" w:hAnsi="Times New Roman" w:cs="Times New Roman"/>
          <w:sz w:val="24"/>
          <w:szCs w:val="24"/>
          <w:lang w:val="lv-LV"/>
        </w:rPr>
        <w:t>atkarī</w:t>
      </w:r>
      <w:r w:rsidR="00B71D5B" w:rsidRPr="00321CBD">
        <w:rPr>
          <w:rFonts w:ascii="Times New Roman" w:hAnsi="Times New Roman" w:cs="Times New Roman"/>
          <w:sz w:val="24"/>
          <w:szCs w:val="24"/>
          <w:lang w:val="lv-LV"/>
        </w:rPr>
        <w:t>gas</w:t>
      </w:r>
      <w:r w:rsidR="00C87496" w:rsidRPr="00321CBD">
        <w:rPr>
          <w:rFonts w:ascii="Times New Roman" w:hAnsi="Times New Roman" w:cs="Times New Roman"/>
          <w:sz w:val="24"/>
          <w:szCs w:val="24"/>
          <w:lang w:val="lv-LV"/>
        </w:rPr>
        <w:t xml:space="preserve"> no tā, cik labi ir aprīkots ārsta kabinets vai nodaļa.</w:t>
      </w:r>
      <w:r w:rsidR="00D95712" w:rsidRPr="00321CBD">
        <w:rPr>
          <w:rFonts w:ascii="Times New Roman" w:hAnsi="Times New Roman" w:cs="Times New Roman"/>
          <w:sz w:val="24"/>
          <w:szCs w:val="24"/>
          <w:lang w:val="lv-LV"/>
        </w:rPr>
        <w:t xml:space="preserve"> </w:t>
      </w:r>
    </w:p>
    <w:p w14:paraId="57A8CC2C" w14:textId="3804D29B" w:rsidR="00EF6E7C" w:rsidRPr="00321CBD" w:rsidRDefault="00EF6E7C" w:rsidP="008A1720">
      <w:pPr>
        <w:spacing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Visvienkāršākā diagnostikas metode ir transvaginālā ultrasonogrāfija (TVS)</w:t>
      </w:r>
      <w:r w:rsidR="00281A96" w:rsidRPr="00321CBD">
        <w:rPr>
          <w:rFonts w:ascii="Times New Roman" w:hAnsi="Times New Roman" w:cs="Times New Roman"/>
          <w:sz w:val="24"/>
          <w:szCs w:val="24"/>
          <w:lang w:val="lv-LV"/>
        </w:rPr>
        <w:t xml:space="preserve">. Tā ir </w:t>
      </w:r>
      <w:r w:rsidR="00B33829" w:rsidRPr="00321CBD">
        <w:rPr>
          <w:rFonts w:ascii="Times New Roman" w:hAnsi="Times New Roman" w:cs="Times New Roman"/>
          <w:sz w:val="24"/>
          <w:szCs w:val="24"/>
          <w:lang w:val="lv-LV"/>
        </w:rPr>
        <w:t>plaši pieejama</w:t>
      </w:r>
      <w:r w:rsidR="008D7634">
        <w:rPr>
          <w:rFonts w:ascii="Times New Roman" w:hAnsi="Times New Roman" w:cs="Times New Roman"/>
          <w:sz w:val="24"/>
          <w:szCs w:val="24"/>
          <w:lang w:val="lv-LV"/>
        </w:rPr>
        <w:t xml:space="preserve"> gan</w:t>
      </w:r>
      <w:r w:rsidR="00281A96" w:rsidRPr="00321CBD">
        <w:rPr>
          <w:rFonts w:ascii="Times New Roman" w:hAnsi="Times New Roman" w:cs="Times New Roman"/>
          <w:sz w:val="24"/>
          <w:szCs w:val="24"/>
          <w:lang w:val="lv-LV"/>
        </w:rPr>
        <w:t xml:space="preserve"> slimnīcas nodaļ</w:t>
      </w:r>
      <w:r w:rsidR="008D7634">
        <w:rPr>
          <w:rFonts w:ascii="Times New Roman" w:hAnsi="Times New Roman" w:cs="Times New Roman"/>
          <w:sz w:val="24"/>
          <w:szCs w:val="24"/>
          <w:lang w:val="lv-LV"/>
        </w:rPr>
        <w:t>ās, gan</w:t>
      </w:r>
      <w:r w:rsidR="00281A96" w:rsidRPr="00321CBD">
        <w:rPr>
          <w:rFonts w:ascii="Times New Roman" w:hAnsi="Times New Roman" w:cs="Times New Roman"/>
          <w:sz w:val="24"/>
          <w:szCs w:val="24"/>
          <w:lang w:val="lv-LV"/>
        </w:rPr>
        <w:t xml:space="preserve"> privātpraks</w:t>
      </w:r>
      <w:r w:rsidR="008D7634">
        <w:rPr>
          <w:rFonts w:ascii="Times New Roman" w:hAnsi="Times New Roman" w:cs="Times New Roman"/>
          <w:sz w:val="24"/>
          <w:szCs w:val="24"/>
          <w:lang w:val="lv-LV"/>
        </w:rPr>
        <w:t>ē</w:t>
      </w:r>
      <w:r w:rsidR="00281A96" w:rsidRPr="00321CBD">
        <w:rPr>
          <w:rFonts w:ascii="Times New Roman" w:hAnsi="Times New Roman" w:cs="Times New Roman"/>
          <w:sz w:val="24"/>
          <w:szCs w:val="24"/>
          <w:lang w:val="lv-LV"/>
        </w:rPr>
        <w:t xml:space="preserve">s. </w:t>
      </w:r>
      <w:r w:rsidR="008D7634">
        <w:rPr>
          <w:rFonts w:ascii="Times New Roman" w:hAnsi="Times New Roman" w:cs="Times New Roman"/>
          <w:sz w:val="24"/>
          <w:szCs w:val="24"/>
          <w:lang w:val="lv-LV"/>
        </w:rPr>
        <w:t>Šī metode</w:t>
      </w:r>
      <w:r w:rsidR="00281A96" w:rsidRPr="00321CBD">
        <w:rPr>
          <w:rFonts w:ascii="Times New Roman" w:hAnsi="Times New Roman" w:cs="Times New Roman"/>
          <w:sz w:val="24"/>
          <w:szCs w:val="24"/>
          <w:lang w:val="lv-LV"/>
        </w:rPr>
        <w:t xml:space="preserve"> ir viegla, lēta un neinvazīva</w:t>
      </w:r>
      <w:r w:rsidR="008D7634">
        <w:rPr>
          <w:rFonts w:ascii="Times New Roman" w:hAnsi="Times New Roman" w:cs="Times New Roman"/>
          <w:sz w:val="24"/>
          <w:szCs w:val="24"/>
          <w:lang w:val="lv-LV"/>
        </w:rPr>
        <w:t>.</w:t>
      </w:r>
      <w:r w:rsidR="00281A96" w:rsidRPr="00321CBD">
        <w:rPr>
          <w:rFonts w:ascii="Times New Roman" w:hAnsi="Times New Roman" w:cs="Times New Roman"/>
          <w:sz w:val="24"/>
          <w:szCs w:val="24"/>
          <w:lang w:val="lv-LV"/>
        </w:rPr>
        <w:t xml:space="preserve"> Pacientes </w:t>
      </w:r>
      <w:r w:rsidR="00281A96" w:rsidRPr="00DD5F36">
        <w:rPr>
          <w:rFonts w:ascii="Times New Roman" w:hAnsi="Times New Roman" w:cs="Times New Roman"/>
          <w:sz w:val="24"/>
          <w:szCs w:val="24"/>
          <w:lang w:val="lv-LV"/>
        </w:rPr>
        <w:t>līdzestība</w:t>
      </w:r>
      <w:r w:rsidR="00281A96" w:rsidRPr="00321CBD">
        <w:rPr>
          <w:rFonts w:ascii="Times New Roman" w:hAnsi="Times New Roman" w:cs="Times New Roman"/>
          <w:sz w:val="24"/>
          <w:szCs w:val="24"/>
          <w:lang w:val="lv-LV"/>
        </w:rPr>
        <w:t xml:space="preserve"> un metodes panesamība ir ļoti laba. Kā arī sensitivitāte un sp</w:t>
      </w:r>
      <w:r w:rsidR="00187C24" w:rsidRPr="00321CBD">
        <w:rPr>
          <w:rFonts w:ascii="Times New Roman" w:hAnsi="Times New Roman" w:cs="Times New Roman"/>
          <w:sz w:val="24"/>
          <w:szCs w:val="24"/>
          <w:lang w:val="lv-LV"/>
        </w:rPr>
        <w:t>ecifitāte, kas atbilst ~90%</w:t>
      </w:r>
      <w:r w:rsidR="002C5C7A">
        <w:rPr>
          <w:rFonts w:ascii="Times New Roman" w:hAnsi="Times New Roman" w:cs="Times New Roman"/>
          <w:sz w:val="24"/>
          <w:szCs w:val="24"/>
          <w:lang w:val="lv-LV"/>
        </w:rPr>
        <w:t>.</w:t>
      </w:r>
      <w:r w:rsidR="002C5C7A" w:rsidRPr="002C5C7A">
        <w:rPr>
          <w:rFonts w:ascii="Times New Roman" w:hAnsi="Times New Roman" w:cs="Times New Roman"/>
          <w:sz w:val="24"/>
          <w:szCs w:val="24"/>
          <w:vertAlign w:val="superscript"/>
          <w:lang w:val="lv-LV"/>
        </w:rPr>
        <w:t>12</w:t>
      </w:r>
      <w:r w:rsidR="002C5C7A">
        <w:rPr>
          <w:rFonts w:ascii="Times New Roman" w:hAnsi="Times New Roman" w:cs="Times New Roman"/>
          <w:sz w:val="24"/>
          <w:szCs w:val="24"/>
          <w:lang w:val="lv-LV"/>
        </w:rPr>
        <w:t xml:space="preserve"> </w:t>
      </w:r>
      <w:r w:rsidR="00187C24" w:rsidRPr="00321CBD">
        <w:rPr>
          <w:rFonts w:ascii="Times New Roman" w:hAnsi="Times New Roman" w:cs="Times New Roman"/>
          <w:sz w:val="24"/>
          <w:szCs w:val="24"/>
          <w:lang w:val="lv-LV"/>
        </w:rPr>
        <w:t>To</w:t>
      </w:r>
      <w:r w:rsidR="008D7634">
        <w:rPr>
          <w:rFonts w:ascii="Times New Roman" w:hAnsi="Times New Roman" w:cs="Times New Roman"/>
          <w:sz w:val="24"/>
          <w:szCs w:val="24"/>
          <w:lang w:val="lv-LV"/>
        </w:rPr>
        <w:t>mēr šai metodei</w:t>
      </w:r>
      <w:r w:rsidR="00187C24" w:rsidRPr="00321CBD">
        <w:rPr>
          <w:rFonts w:ascii="Times New Roman" w:hAnsi="Times New Roman" w:cs="Times New Roman"/>
          <w:sz w:val="24"/>
          <w:szCs w:val="24"/>
          <w:lang w:val="lv-LV"/>
        </w:rPr>
        <w:t xml:space="preserve"> ir arī savi trūkumi. Pirmais izriet no tā, ka tā ir neinvazīva metode un </w:t>
      </w:r>
      <w:r w:rsidR="00896657" w:rsidRPr="00321CBD">
        <w:rPr>
          <w:rFonts w:ascii="Times New Roman" w:hAnsi="Times New Roman" w:cs="Times New Roman"/>
          <w:sz w:val="24"/>
          <w:szCs w:val="24"/>
          <w:lang w:val="lv-LV"/>
        </w:rPr>
        <w:t xml:space="preserve">konkrētas endometrija patoloģijas diferencēšanas </w:t>
      </w:r>
      <w:r w:rsidR="00187C24" w:rsidRPr="00321CBD">
        <w:rPr>
          <w:rFonts w:ascii="Times New Roman" w:hAnsi="Times New Roman" w:cs="Times New Roman"/>
          <w:sz w:val="24"/>
          <w:szCs w:val="24"/>
          <w:lang w:val="lv-LV"/>
        </w:rPr>
        <w:t xml:space="preserve">iespējas  ir limitētas, jo </w:t>
      </w:r>
      <w:r w:rsidR="00D821F9" w:rsidRPr="00321CBD">
        <w:rPr>
          <w:rFonts w:ascii="Times New Roman" w:hAnsi="Times New Roman" w:cs="Times New Roman"/>
          <w:sz w:val="24"/>
          <w:szCs w:val="24"/>
          <w:lang w:val="lv-LV"/>
        </w:rPr>
        <w:t xml:space="preserve">nav iespējams </w:t>
      </w:r>
      <w:r w:rsidR="00187C24" w:rsidRPr="00321CBD">
        <w:rPr>
          <w:rFonts w:ascii="Times New Roman" w:hAnsi="Times New Roman" w:cs="Times New Roman"/>
          <w:sz w:val="24"/>
          <w:szCs w:val="24"/>
          <w:lang w:val="lv-LV"/>
        </w:rPr>
        <w:t xml:space="preserve">paņemt biopsiju. Ultraskaņas attēls pārsvarā parāda sabiezētu endometriju, </w:t>
      </w:r>
      <w:r w:rsidR="008D7634">
        <w:rPr>
          <w:rFonts w:ascii="Times New Roman" w:hAnsi="Times New Roman" w:cs="Times New Roman"/>
          <w:sz w:val="24"/>
          <w:szCs w:val="24"/>
          <w:lang w:val="lv-LV"/>
        </w:rPr>
        <w:t>tomēr</w:t>
      </w:r>
      <w:r w:rsidR="008D22E1" w:rsidRPr="00321CBD">
        <w:rPr>
          <w:rFonts w:ascii="Times New Roman" w:hAnsi="Times New Roman" w:cs="Times New Roman"/>
          <w:sz w:val="24"/>
          <w:szCs w:val="24"/>
          <w:lang w:val="lv-LV"/>
        </w:rPr>
        <w:t xml:space="preserve"> </w:t>
      </w:r>
      <w:r w:rsidR="00187C24" w:rsidRPr="00321CBD">
        <w:rPr>
          <w:rFonts w:ascii="Times New Roman" w:hAnsi="Times New Roman" w:cs="Times New Roman"/>
          <w:sz w:val="24"/>
          <w:szCs w:val="24"/>
          <w:lang w:val="lv-LV"/>
        </w:rPr>
        <w:t>nedod iespēju to diferencēt starp pr</w:t>
      </w:r>
      <w:r w:rsidR="008D22E1" w:rsidRPr="00321CBD">
        <w:rPr>
          <w:rFonts w:ascii="Times New Roman" w:hAnsi="Times New Roman" w:cs="Times New Roman"/>
          <w:sz w:val="24"/>
          <w:szCs w:val="24"/>
          <w:lang w:val="lv-LV"/>
        </w:rPr>
        <w:t>o</w:t>
      </w:r>
      <w:r w:rsidR="00187C24" w:rsidRPr="00321CBD">
        <w:rPr>
          <w:rFonts w:ascii="Times New Roman" w:hAnsi="Times New Roman" w:cs="Times New Roman"/>
          <w:sz w:val="24"/>
          <w:szCs w:val="24"/>
          <w:lang w:val="lv-LV"/>
        </w:rPr>
        <w:t>liferatīvu endometriju (piemēram sievietēm, kas lieto HAT), endometrij</w:t>
      </w:r>
      <w:r w:rsidR="008D22E1" w:rsidRPr="00321CBD">
        <w:rPr>
          <w:rFonts w:ascii="Times New Roman" w:hAnsi="Times New Roman" w:cs="Times New Roman"/>
          <w:sz w:val="24"/>
          <w:szCs w:val="24"/>
          <w:lang w:val="lv-LV"/>
        </w:rPr>
        <w:t>u</w:t>
      </w:r>
      <w:r w:rsidR="00187C24" w:rsidRPr="00321CBD">
        <w:rPr>
          <w:rFonts w:ascii="Times New Roman" w:hAnsi="Times New Roman" w:cs="Times New Roman"/>
          <w:sz w:val="24"/>
          <w:szCs w:val="24"/>
          <w:lang w:val="lv-LV"/>
        </w:rPr>
        <w:t xml:space="preserve"> </w:t>
      </w:r>
      <w:r w:rsidR="008D22E1" w:rsidRPr="00321CBD">
        <w:rPr>
          <w:rFonts w:ascii="Times New Roman" w:hAnsi="Times New Roman" w:cs="Times New Roman"/>
          <w:sz w:val="24"/>
          <w:szCs w:val="24"/>
          <w:lang w:val="lv-LV"/>
        </w:rPr>
        <w:t xml:space="preserve">pie </w:t>
      </w:r>
      <w:r w:rsidR="00187C24" w:rsidRPr="00321CBD">
        <w:rPr>
          <w:rFonts w:ascii="Times New Roman" w:hAnsi="Times New Roman" w:cs="Times New Roman"/>
          <w:sz w:val="24"/>
          <w:szCs w:val="24"/>
          <w:lang w:val="lv-LV"/>
        </w:rPr>
        <w:t>labdabīg</w:t>
      </w:r>
      <w:r w:rsidR="008D22E1" w:rsidRPr="00321CBD">
        <w:rPr>
          <w:rFonts w:ascii="Times New Roman" w:hAnsi="Times New Roman" w:cs="Times New Roman"/>
          <w:sz w:val="24"/>
          <w:szCs w:val="24"/>
          <w:lang w:val="lv-LV"/>
        </w:rPr>
        <w:t>as</w:t>
      </w:r>
      <w:r w:rsidR="00187C24" w:rsidRPr="00321CBD">
        <w:rPr>
          <w:rFonts w:ascii="Times New Roman" w:hAnsi="Times New Roman" w:cs="Times New Roman"/>
          <w:sz w:val="24"/>
          <w:szCs w:val="24"/>
          <w:lang w:val="lv-LV"/>
        </w:rPr>
        <w:t xml:space="preserve"> saslimšan</w:t>
      </w:r>
      <w:r w:rsidR="008D22E1" w:rsidRPr="00321CBD">
        <w:rPr>
          <w:rFonts w:ascii="Times New Roman" w:hAnsi="Times New Roman" w:cs="Times New Roman"/>
          <w:sz w:val="24"/>
          <w:szCs w:val="24"/>
          <w:lang w:val="lv-LV"/>
        </w:rPr>
        <w:t>as</w:t>
      </w:r>
      <w:r w:rsidR="00187C24" w:rsidRPr="00321CBD">
        <w:rPr>
          <w:rFonts w:ascii="Times New Roman" w:hAnsi="Times New Roman" w:cs="Times New Roman"/>
          <w:sz w:val="24"/>
          <w:szCs w:val="24"/>
          <w:lang w:val="lv-LV"/>
        </w:rPr>
        <w:t xml:space="preserve"> vai arī end</w:t>
      </w:r>
      <w:r w:rsidR="00811CC3" w:rsidRPr="00321CBD">
        <w:rPr>
          <w:rFonts w:ascii="Times New Roman" w:hAnsi="Times New Roman" w:cs="Times New Roman"/>
          <w:sz w:val="24"/>
          <w:szCs w:val="24"/>
          <w:lang w:val="lv-LV"/>
        </w:rPr>
        <w:t>ometrij</w:t>
      </w:r>
      <w:r w:rsidR="008D22E1" w:rsidRPr="00321CBD">
        <w:rPr>
          <w:rFonts w:ascii="Times New Roman" w:hAnsi="Times New Roman" w:cs="Times New Roman"/>
          <w:sz w:val="24"/>
          <w:szCs w:val="24"/>
          <w:lang w:val="lv-LV"/>
        </w:rPr>
        <w:t>u</w:t>
      </w:r>
      <w:r w:rsidR="00811CC3" w:rsidRPr="00321CBD">
        <w:rPr>
          <w:rFonts w:ascii="Times New Roman" w:hAnsi="Times New Roman" w:cs="Times New Roman"/>
          <w:sz w:val="24"/>
          <w:szCs w:val="24"/>
          <w:lang w:val="lv-LV"/>
        </w:rPr>
        <w:t xml:space="preserve"> </w:t>
      </w:r>
      <w:r w:rsidR="008D22E1" w:rsidRPr="00321CBD">
        <w:rPr>
          <w:rFonts w:ascii="Times New Roman" w:hAnsi="Times New Roman" w:cs="Times New Roman"/>
          <w:sz w:val="24"/>
          <w:szCs w:val="24"/>
          <w:lang w:val="lv-LV"/>
        </w:rPr>
        <w:t xml:space="preserve">pie </w:t>
      </w:r>
      <w:r w:rsidR="00811CC3" w:rsidRPr="00321CBD">
        <w:rPr>
          <w:rFonts w:ascii="Times New Roman" w:hAnsi="Times New Roman" w:cs="Times New Roman"/>
          <w:sz w:val="24"/>
          <w:szCs w:val="24"/>
          <w:lang w:val="lv-LV"/>
        </w:rPr>
        <w:t>ļaundabīgā</w:t>
      </w:r>
      <w:r w:rsidR="008D22E1" w:rsidRPr="00321CBD">
        <w:rPr>
          <w:rFonts w:ascii="Times New Roman" w:hAnsi="Times New Roman" w:cs="Times New Roman"/>
          <w:sz w:val="24"/>
          <w:szCs w:val="24"/>
          <w:lang w:val="lv-LV"/>
        </w:rPr>
        <w:t>s patoloģijas</w:t>
      </w:r>
      <w:r w:rsidR="00811CC3" w:rsidRPr="00321CBD">
        <w:rPr>
          <w:rFonts w:ascii="Times New Roman" w:hAnsi="Times New Roman" w:cs="Times New Roman"/>
          <w:sz w:val="24"/>
          <w:szCs w:val="24"/>
          <w:lang w:val="lv-LV"/>
        </w:rPr>
        <w:t xml:space="preserve">, tādējādi radot vajadzību </w:t>
      </w:r>
      <w:r w:rsidR="008D22E1" w:rsidRPr="00321CBD">
        <w:rPr>
          <w:rFonts w:ascii="Times New Roman" w:hAnsi="Times New Roman" w:cs="Times New Roman"/>
          <w:sz w:val="24"/>
          <w:szCs w:val="24"/>
          <w:lang w:val="lv-LV"/>
        </w:rPr>
        <w:t xml:space="preserve">pēc </w:t>
      </w:r>
      <w:r w:rsidR="00811CC3" w:rsidRPr="00321CBD">
        <w:rPr>
          <w:rFonts w:ascii="Times New Roman" w:hAnsi="Times New Roman" w:cs="Times New Roman"/>
          <w:sz w:val="24"/>
          <w:szCs w:val="24"/>
          <w:lang w:val="lv-LV"/>
        </w:rPr>
        <w:t>papildus izmeklēšanas metodēm</w:t>
      </w:r>
      <w:r w:rsidR="00E43ED3">
        <w:rPr>
          <w:rFonts w:ascii="Times New Roman" w:hAnsi="Times New Roman" w:cs="Times New Roman"/>
          <w:sz w:val="24"/>
          <w:szCs w:val="24"/>
          <w:lang w:val="lv-LV"/>
        </w:rPr>
        <w:t>.</w:t>
      </w:r>
      <w:r w:rsidR="00E43ED3" w:rsidRPr="00E43ED3">
        <w:rPr>
          <w:rFonts w:ascii="Times New Roman" w:hAnsi="Times New Roman" w:cs="Times New Roman"/>
          <w:sz w:val="24"/>
          <w:szCs w:val="24"/>
          <w:vertAlign w:val="superscript"/>
          <w:lang w:val="lv-LV"/>
        </w:rPr>
        <w:t>12</w:t>
      </w:r>
      <w:r w:rsidR="00E43ED3">
        <w:rPr>
          <w:rFonts w:ascii="Times New Roman" w:hAnsi="Times New Roman" w:cs="Times New Roman"/>
          <w:sz w:val="24"/>
          <w:szCs w:val="24"/>
          <w:lang w:val="lv-LV"/>
        </w:rPr>
        <w:t xml:space="preserve"> </w:t>
      </w:r>
      <w:r w:rsidR="00811CC3" w:rsidRPr="00321CBD">
        <w:rPr>
          <w:rFonts w:ascii="Times New Roman" w:hAnsi="Times New Roman" w:cs="Times New Roman"/>
          <w:sz w:val="24"/>
          <w:szCs w:val="24"/>
          <w:lang w:val="lv-LV"/>
        </w:rPr>
        <w:t>Mazas submukozas miomas un endometrija polipi ne v</w:t>
      </w:r>
      <w:r w:rsidR="00E43ED3">
        <w:rPr>
          <w:rFonts w:ascii="Times New Roman" w:hAnsi="Times New Roman" w:cs="Times New Roman"/>
          <w:sz w:val="24"/>
          <w:szCs w:val="24"/>
          <w:lang w:val="lv-LV"/>
        </w:rPr>
        <w:t>ienmēr var tikt atpazīti ar TVS.</w:t>
      </w:r>
      <w:r w:rsidR="00E43ED3" w:rsidRPr="00E43ED3">
        <w:rPr>
          <w:rFonts w:ascii="Times New Roman" w:hAnsi="Times New Roman" w:cs="Times New Roman"/>
          <w:sz w:val="24"/>
          <w:szCs w:val="24"/>
          <w:vertAlign w:val="superscript"/>
          <w:lang w:val="lv-LV"/>
        </w:rPr>
        <w:t>4</w:t>
      </w:r>
      <w:r w:rsidR="00E43ED3">
        <w:rPr>
          <w:rFonts w:ascii="Times New Roman" w:hAnsi="Times New Roman" w:cs="Times New Roman"/>
          <w:sz w:val="24"/>
          <w:szCs w:val="24"/>
          <w:lang w:val="lv-LV"/>
        </w:rPr>
        <w:t xml:space="preserve"> </w:t>
      </w:r>
      <w:r w:rsidR="00811CC3" w:rsidRPr="00321CBD">
        <w:rPr>
          <w:rFonts w:ascii="Times New Roman" w:hAnsi="Times New Roman" w:cs="Times New Roman"/>
          <w:sz w:val="24"/>
          <w:szCs w:val="24"/>
          <w:lang w:val="lv-LV"/>
        </w:rPr>
        <w:t>Savu lomu spēlē arī attēla kvalitāte</w:t>
      </w:r>
      <w:r w:rsidR="008D7634">
        <w:rPr>
          <w:rFonts w:ascii="Times New Roman" w:hAnsi="Times New Roman" w:cs="Times New Roman"/>
          <w:sz w:val="24"/>
          <w:szCs w:val="24"/>
          <w:lang w:val="lv-LV"/>
        </w:rPr>
        <w:t xml:space="preserve"> - </w:t>
      </w:r>
      <w:r w:rsidR="00811CC3" w:rsidRPr="00321CBD">
        <w:rPr>
          <w:rFonts w:ascii="Times New Roman" w:hAnsi="Times New Roman" w:cs="Times New Roman"/>
          <w:sz w:val="24"/>
          <w:szCs w:val="24"/>
          <w:lang w:val="lv-LV"/>
        </w:rPr>
        <w:t xml:space="preserve">jo sliktāks un vecāks aparāts, jo grūtāk </w:t>
      </w:r>
      <w:r w:rsidR="008D22E1" w:rsidRPr="00321CBD">
        <w:rPr>
          <w:rFonts w:ascii="Times New Roman" w:hAnsi="Times New Roman" w:cs="Times New Roman"/>
          <w:sz w:val="24"/>
          <w:szCs w:val="24"/>
          <w:lang w:val="lv-LV"/>
        </w:rPr>
        <w:t xml:space="preserve">būs </w:t>
      </w:r>
      <w:r w:rsidR="00811CC3" w:rsidRPr="00321CBD">
        <w:rPr>
          <w:rFonts w:ascii="Times New Roman" w:hAnsi="Times New Roman" w:cs="Times New Roman"/>
          <w:sz w:val="24"/>
          <w:szCs w:val="24"/>
          <w:lang w:val="lv-LV"/>
        </w:rPr>
        <w:t xml:space="preserve">atpazīt intrauterīnās patoloģijas. Bet, neskatoties uz visiem trūkumiem, TVS </w:t>
      </w:r>
      <w:r w:rsidR="008D7634">
        <w:rPr>
          <w:rFonts w:ascii="Times New Roman" w:hAnsi="Times New Roman" w:cs="Times New Roman"/>
          <w:sz w:val="24"/>
          <w:szCs w:val="24"/>
          <w:lang w:val="lv-LV"/>
        </w:rPr>
        <w:t>ir</w:t>
      </w:r>
      <w:r w:rsidR="00811CC3" w:rsidRPr="00321CBD">
        <w:rPr>
          <w:rFonts w:ascii="Times New Roman" w:hAnsi="Times New Roman" w:cs="Times New Roman"/>
          <w:sz w:val="24"/>
          <w:szCs w:val="24"/>
          <w:lang w:val="lv-LV"/>
        </w:rPr>
        <w:t xml:space="preserve"> ļoti laba skrīninga metode, lai atpazītu pacientes, </w:t>
      </w:r>
      <w:r w:rsidR="008D22E1" w:rsidRPr="00321CBD">
        <w:rPr>
          <w:rFonts w:ascii="Times New Roman" w:hAnsi="Times New Roman" w:cs="Times New Roman"/>
          <w:sz w:val="24"/>
          <w:szCs w:val="24"/>
          <w:lang w:val="lv-LV"/>
        </w:rPr>
        <w:t xml:space="preserve">kurām </w:t>
      </w:r>
      <w:r w:rsidR="00811CC3" w:rsidRPr="00321CBD">
        <w:rPr>
          <w:rFonts w:ascii="Times New Roman" w:hAnsi="Times New Roman" w:cs="Times New Roman"/>
          <w:sz w:val="24"/>
          <w:szCs w:val="24"/>
          <w:lang w:val="lv-LV"/>
        </w:rPr>
        <w:t xml:space="preserve">vajadzīga </w:t>
      </w:r>
      <w:r w:rsidR="008D22E1" w:rsidRPr="00321CBD">
        <w:rPr>
          <w:rFonts w:ascii="Times New Roman" w:hAnsi="Times New Roman" w:cs="Times New Roman"/>
          <w:sz w:val="24"/>
          <w:szCs w:val="24"/>
          <w:lang w:val="lv-LV"/>
        </w:rPr>
        <w:t>smalkāk</w:t>
      </w:r>
      <w:r w:rsidR="008D7634">
        <w:rPr>
          <w:rFonts w:ascii="Times New Roman" w:hAnsi="Times New Roman" w:cs="Times New Roman"/>
          <w:sz w:val="24"/>
          <w:szCs w:val="24"/>
          <w:lang w:val="lv-LV"/>
        </w:rPr>
        <w:t>a</w:t>
      </w:r>
      <w:r w:rsidR="008D22E1" w:rsidRPr="00321CBD">
        <w:rPr>
          <w:rFonts w:ascii="Times New Roman" w:hAnsi="Times New Roman" w:cs="Times New Roman"/>
          <w:sz w:val="24"/>
          <w:szCs w:val="24"/>
          <w:lang w:val="lv-LV"/>
        </w:rPr>
        <w:t xml:space="preserve"> </w:t>
      </w:r>
      <w:r w:rsidR="00811CC3" w:rsidRPr="00321CBD">
        <w:rPr>
          <w:rFonts w:ascii="Times New Roman" w:hAnsi="Times New Roman" w:cs="Times New Roman"/>
          <w:sz w:val="24"/>
          <w:szCs w:val="24"/>
          <w:lang w:val="lv-LV"/>
        </w:rPr>
        <w:t>endometrija izmeklēšana, tas ir</w:t>
      </w:r>
      <w:r w:rsidR="0032613C">
        <w:rPr>
          <w:rFonts w:ascii="Times New Roman" w:hAnsi="Times New Roman" w:cs="Times New Roman"/>
          <w:sz w:val="24"/>
          <w:szCs w:val="24"/>
          <w:lang w:val="lv-LV"/>
        </w:rPr>
        <w:t>,</w:t>
      </w:r>
      <w:r w:rsidR="00811CC3" w:rsidRPr="00321CBD">
        <w:rPr>
          <w:rFonts w:ascii="Times New Roman" w:hAnsi="Times New Roman" w:cs="Times New Roman"/>
          <w:sz w:val="24"/>
          <w:szCs w:val="24"/>
          <w:lang w:val="lv-LV"/>
        </w:rPr>
        <w:t xml:space="preserve"> endometrija biopsija.</w:t>
      </w:r>
    </w:p>
    <w:p w14:paraId="01AD94A5" w14:textId="3DDAA509" w:rsidR="00811CC3" w:rsidRPr="00321CBD" w:rsidRDefault="006974E3" w:rsidP="008A1720">
      <w:pPr>
        <w:autoSpaceDE w:val="0"/>
        <w:autoSpaceDN w:val="0"/>
        <w:adjustRightInd w:val="0"/>
        <w:spacing w:after="0" w:line="360" w:lineRule="auto"/>
        <w:ind w:firstLine="720"/>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Nāk</w:t>
      </w:r>
      <w:r w:rsidR="00756561" w:rsidRPr="00321CBD">
        <w:rPr>
          <w:rFonts w:ascii="Times New Roman" w:hAnsi="Times New Roman" w:cs="Times New Roman"/>
          <w:sz w:val="24"/>
          <w:szCs w:val="24"/>
          <w:lang w:val="lv-LV"/>
        </w:rPr>
        <w:t>amā</w:t>
      </w:r>
      <w:r w:rsidRPr="00321CBD">
        <w:rPr>
          <w:rFonts w:ascii="Times New Roman" w:hAnsi="Times New Roman" w:cs="Times New Roman"/>
          <w:sz w:val="24"/>
          <w:szCs w:val="24"/>
          <w:lang w:val="lv-LV"/>
        </w:rPr>
        <w:t xml:space="preserve"> diagnostiskā metode ir </w:t>
      </w:r>
      <w:r w:rsidR="00756561" w:rsidRPr="00321CBD">
        <w:rPr>
          <w:rFonts w:ascii="Times New Roman" w:hAnsi="Times New Roman" w:cs="Times New Roman"/>
          <w:sz w:val="24"/>
          <w:szCs w:val="24"/>
          <w:lang w:val="lv-LV"/>
        </w:rPr>
        <w:t>šķidruma</w:t>
      </w:r>
      <w:r w:rsidRPr="00321CBD">
        <w:rPr>
          <w:rFonts w:ascii="Times New Roman" w:hAnsi="Times New Roman" w:cs="Times New Roman"/>
          <w:sz w:val="24"/>
          <w:szCs w:val="24"/>
          <w:lang w:val="lv-LV"/>
        </w:rPr>
        <w:t xml:space="preserve"> sonohisterogrāfija (SIS – saline infusion sonohysterography). </w:t>
      </w:r>
      <w:r w:rsidR="00A826EA" w:rsidRPr="00321CBD">
        <w:rPr>
          <w:rFonts w:ascii="Times New Roman" w:hAnsi="Times New Roman" w:cs="Times New Roman"/>
          <w:sz w:val="24"/>
          <w:szCs w:val="24"/>
          <w:lang w:val="lv-LV"/>
        </w:rPr>
        <w:t xml:space="preserve">Šī </w:t>
      </w:r>
      <w:r w:rsidR="00906153" w:rsidRPr="00321CBD">
        <w:rPr>
          <w:rFonts w:ascii="Times New Roman" w:hAnsi="Times New Roman" w:cs="Times New Roman"/>
          <w:sz w:val="24"/>
          <w:szCs w:val="24"/>
          <w:lang w:val="lv-LV"/>
        </w:rPr>
        <w:t xml:space="preserve">metode papildina klasisku TVS ar fizioloģiskā </w:t>
      </w:r>
      <w:r w:rsidR="005517D8">
        <w:rPr>
          <w:rFonts w:ascii="Times New Roman" w:hAnsi="Times New Roman" w:cs="Times New Roman"/>
          <w:sz w:val="24"/>
          <w:szCs w:val="24"/>
          <w:lang w:val="lv-LV"/>
        </w:rPr>
        <w:t>šķīd</w:t>
      </w:r>
      <w:r w:rsidR="00756561" w:rsidRPr="00321CBD">
        <w:rPr>
          <w:rFonts w:ascii="Times New Roman" w:hAnsi="Times New Roman" w:cs="Times New Roman"/>
          <w:sz w:val="24"/>
          <w:szCs w:val="24"/>
          <w:lang w:val="lv-LV"/>
        </w:rPr>
        <w:t>uma</w:t>
      </w:r>
      <w:r w:rsidR="00906153" w:rsidRPr="00321CBD">
        <w:rPr>
          <w:rFonts w:ascii="Times New Roman" w:hAnsi="Times New Roman" w:cs="Times New Roman"/>
          <w:sz w:val="24"/>
          <w:szCs w:val="24"/>
          <w:lang w:val="lv-LV"/>
        </w:rPr>
        <w:t xml:space="preserve"> </w:t>
      </w:r>
      <w:r w:rsidR="005517D8">
        <w:rPr>
          <w:rFonts w:ascii="Times New Roman" w:hAnsi="Times New Roman" w:cs="Times New Roman"/>
          <w:sz w:val="24"/>
          <w:szCs w:val="24"/>
          <w:lang w:val="lv-LV"/>
        </w:rPr>
        <w:t>ievadi</w:t>
      </w:r>
      <w:r w:rsidR="00906153" w:rsidRPr="00321CBD">
        <w:rPr>
          <w:rFonts w:ascii="Times New Roman" w:hAnsi="Times New Roman" w:cs="Times New Roman"/>
          <w:sz w:val="24"/>
          <w:szCs w:val="24"/>
          <w:lang w:val="lv-LV"/>
        </w:rPr>
        <w:t xml:space="preserve"> dzemdes dobumā, </w:t>
      </w:r>
      <w:r w:rsidR="00756561" w:rsidRPr="00321CBD">
        <w:rPr>
          <w:rFonts w:ascii="Times New Roman" w:hAnsi="Times New Roman" w:cs="Times New Roman"/>
          <w:sz w:val="24"/>
          <w:szCs w:val="24"/>
          <w:lang w:val="lv-LV"/>
        </w:rPr>
        <w:t>tādejādi</w:t>
      </w:r>
      <w:r w:rsidR="00906153" w:rsidRPr="00321CBD">
        <w:rPr>
          <w:rFonts w:ascii="Times New Roman" w:hAnsi="Times New Roman" w:cs="Times New Roman"/>
          <w:sz w:val="24"/>
          <w:szCs w:val="24"/>
          <w:lang w:val="lv-LV"/>
        </w:rPr>
        <w:t xml:space="preserve"> paplašinot to un </w:t>
      </w:r>
      <w:r w:rsidR="00756561" w:rsidRPr="00321CBD">
        <w:rPr>
          <w:rFonts w:ascii="Times New Roman" w:hAnsi="Times New Roman" w:cs="Times New Roman"/>
          <w:sz w:val="24"/>
          <w:szCs w:val="24"/>
          <w:lang w:val="lv-LV"/>
        </w:rPr>
        <w:t>uzlabojot attēla kvalitāti</w:t>
      </w:r>
      <w:r w:rsidR="00906153" w:rsidRPr="00321CBD">
        <w:rPr>
          <w:rFonts w:ascii="Times New Roman" w:hAnsi="Times New Roman" w:cs="Times New Roman"/>
          <w:sz w:val="24"/>
          <w:szCs w:val="24"/>
          <w:lang w:val="lv-LV"/>
        </w:rPr>
        <w:t xml:space="preserve">. </w:t>
      </w:r>
      <w:r w:rsidR="008F5965" w:rsidRPr="00321CBD">
        <w:rPr>
          <w:rFonts w:ascii="Times New Roman" w:hAnsi="Times New Roman" w:cs="Times New Roman"/>
          <w:sz w:val="24"/>
          <w:szCs w:val="24"/>
          <w:lang w:val="lv-LV"/>
        </w:rPr>
        <w:t xml:space="preserve">Fizioloģiskais </w:t>
      </w:r>
      <w:r w:rsidR="005517D8">
        <w:rPr>
          <w:rFonts w:ascii="Times New Roman" w:hAnsi="Times New Roman" w:cs="Times New Roman"/>
          <w:sz w:val="24"/>
          <w:szCs w:val="24"/>
          <w:lang w:val="lv-LV"/>
        </w:rPr>
        <w:t>šķīd</w:t>
      </w:r>
      <w:r w:rsidR="00756561" w:rsidRPr="00321CBD">
        <w:rPr>
          <w:rFonts w:ascii="Times New Roman" w:hAnsi="Times New Roman" w:cs="Times New Roman"/>
          <w:sz w:val="24"/>
          <w:szCs w:val="24"/>
          <w:lang w:val="lv-LV"/>
        </w:rPr>
        <w:t>ums</w:t>
      </w:r>
      <w:r w:rsidR="008F5965" w:rsidRPr="00321CBD">
        <w:rPr>
          <w:rFonts w:ascii="Times New Roman" w:hAnsi="Times New Roman" w:cs="Times New Roman"/>
          <w:sz w:val="24"/>
          <w:szCs w:val="24"/>
          <w:lang w:val="lv-LV"/>
        </w:rPr>
        <w:t xml:space="preserve"> r</w:t>
      </w:r>
      <w:r w:rsidR="00756561" w:rsidRPr="00321CBD">
        <w:rPr>
          <w:rFonts w:ascii="Times New Roman" w:hAnsi="Times New Roman" w:cs="Times New Roman"/>
          <w:sz w:val="24"/>
          <w:szCs w:val="24"/>
          <w:lang w:val="lv-LV"/>
        </w:rPr>
        <w:t>a</w:t>
      </w:r>
      <w:r w:rsidR="005517D8">
        <w:rPr>
          <w:rFonts w:ascii="Times New Roman" w:hAnsi="Times New Roman" w:cs="Times New Roman"/>
          <w:sz w:val="24"/>
          <w:szCs w:val="24"/>
          <w:lang w:val="lv-LV"/>
        </w:rPr>
        <w:t>da anehogēnu attēlu</w:t>
      </w:r>
      <w:r w:rsidR="008F5965" w:rsidRPr="00321CBD">
        <w:rPr>
          <w:rFonts w:ascii="Times New Roman" w:hAnsi="Times New Roman" w:cs="Times New Roman"/>
          <w:sz w:val="24"/>
          <w:szCs w:val="24"/>
          <w:lang w:val="lv-LV"/>
        </w:rPr>
        <w:t xml:space="preserve">, uz kuras fona labi redzamas intrauterīnās patoloģijas, </w:t>
      </w:r>
      <w:r w:rsidR="00756561" w:rsidRPr="00321CBD">
        <w:rPr>
          <w:rFonts w:ascii="Times New Roman" w:hAnsi="Times New Roman" w:cs="Times New Roman"/>
          <w:sz w:val="24"/>
          <w:szCs w:val="24"/>
          <w:lang w:val="lv-LV"/>
        </w:rPr>
        <w:t xml:space="preserve">piemēram, </w:t>
      </w:r>
      <w:r w:rsidR="008F5965" w:rsidRPr="00321CBD">
        <w:rPr>
          <w:rFonts w:ascii="Times New Roman" w:hAnsi="Times New Roman" w:cs="Times New Roman"/>
          <w:sz w:val="24"/>
          <w:szCs w:val="24"/>
          <w:lang w:val="lv-LV"/>
        </w:rPr>
        <w:t xml:space="preserve"> endometrija polipi vai miomas. Dažādās publikācijās ir parādīts, ka SIS sensitivitāte un specifitāte salīdzinoši ar klasisko TVS ir augstāka. Pētījumi arī liecina, ka SIS var konkurēt ar histeroskopiju par līderpozīcijām patoloģiskās dzemdes asiņošanas izmeklēšanā, jo to specifitāte un sensitivitāte ir salīdzināma ar histeroskopijas datiem. </w:t>
      </w:r>
      <w:r w:rsidR="007D48EE" w:rsidRPr="00321CBD">
        <w:rPr>
          <w:rFonts w:ascii="Times New Roman" w:hAnsi="Times New Roman" w:cs="Times New Roman"/>
          <w:sz w:val="24"/>
          <w:szCs w:val="24"/>
          <w:lang w:val="lv-LV"/>
        </w:rPr>
        <w:t>Tā</w:t>
      </w:r>
      <w:r w:rsidR="0032613C">
        <w:rPr>
          <w:rFonts w:ascii="Times New Roman" w:hAnsi="Times New Roman" w:cs="Times New Roman"/>
          <w:sz w:val="24"/>
          <w:szCs w:val="24"/>
          <w:lang w:val="lv-LV"/>
        </w:rPr>
        <w:t>,</w:t>
      </w:r>
      <w:r w:rsidR="007D48EE" w:rsidRPr="00321CBD">
        <w:rPr>
          <w:rFonts w:ascii="Times New Roman" w:hAnsi="Times New Roman" w:cs="Times New Roman"/>
          <w:sz w:val="24"/>
          <w:szCs w:val="24"/>
          <w:lang w:val="lv-LV"/>
        </w:rPr>
        <w:t xml:space="preserve"> piemēram</w:t>
      </w:r>
      <w:r w:rsidR="0032613C">
        <w:rPr>
          <w:rFonts w:ascii="Times New Roman" w:hAnsi="Times New Roman" w:cs="Times New Roman"/>
          <w:sz w:val="24"/>
          <w:szCs w:val="24"/>
          <w:lang w:val="lv-LV"/>
        </w:rPr>
        <w:t>,</w:t>
      </w:r>
      <w:r w:rsidR="007D48EE" w:rsidRPr="00321CBD">
        <w:rPr>
          <w:rFonts w:ascii="Times New Roman" w:hAnsi="Times New Roman" w:cs="Times New Roman"/>
          <w:sz w:val="24"/>
          <w:szCs w:val="24"/>
          <w:lang w:val="lv-LV"/>
        </w:rPr>
        <w:t xml:space="preserve"> 2012.gada pētījumā „</w:t>
      </w:r>
      <w:r w:rsidR="007D48EE" w:rsidRPr="00321CBD">
        <w:rPr>
          <w:rFonts w:ascii="Times New Roman" w:eastAsia="AdvP4DF60E" w:hAnsi="Times New Roman" w:cs="Times New Roman"/>
          <w:sz w:val="24"/>
          <w:szCs w:val="24"/>
          <w:lang w:val="lv-LV"/>
        </w:rPr>
        <w:t>Comparison of saline infusion sonohysterography and hysteroscopy in diagnosis of premenopausal women with abnormal uterine bleeding</w:t>
      </w:r>
      <w:r w:rsidR="007D48EE" w:rsidRPr="00321CBD">
        <w:rPr>
          <w:rFonts w:ascii="Times New Roman" w:hAnsi="Times New Roman" w:cs="Times New Roman"/>
          <w:sz w:val="24"/>
          <w:szCs w:val="24"/>
          <w:lang w:val="lv-LV"/>
        </w:rPr>
        <w:t xml:space="preserve">” SIS parādīja kopējo sensitivitāti 93.6% un specifitāti 90.5%, kas </w:t>
      </w:r>
      <w:r w:rsidR="00DE5374" w:rsidRPr="00321CBD">
        <w:rPr>
          <w:rFonts w:ascii="Times New Roman" w:hAnsi="Times New Roman" w:cs="Times New Roman"/>
          <w:sz w:val="24"/>
          <w:szCs w:val="24"/>
          <w:lang w:val="lv-LV"/>
        </w:rPr>
        <w:t xml:space="preserve">pielīdzināms </w:t>
      </w:r>
      <w:r w:rsidR="007D48EE" w:rsidRPr="00321CBD">
        <w:rPr>
          <w:rFonts w:ascii="Times New Roman" w:hAnsi="Times New Roman" w:cs="Times New Roman"/>
          <w:sz w:val="24"/>
          <w:szCs w:val="24"/>
          <w:lang w:val="lv-LV"/>
        </w:rPr>
        <w:t>histeroskopijas sensitivitāt</w:t>
      </w:r>
      <w:r w:rsidR="00DE5374" w:rsidRPr="00321CBD">
        <w:rPr>
          <w:rFonts w:ascii="Times New Roman" w:hAnsi="Times New Roman" w:cs="Times New Roman"/>
          <w:sz w:val="24"/>
          <w:szCs w:val="24"/>
          <w:lang w:val="lv-LV"/>
        </w:rPr>
        <w:t>ei</w:t>
      </w:r>
      <w:r w:rsidR="007D48EE" w:rsidRPr="00321CBD">
        <w:rPr>
          <w:rFonts w:ascii="Times New Roman" w:hAnsi="Times New Roman" w:cs="Times New Roman"/>
          <w:sz w:val="24"/>
          <w:szCs w:val="24"/>
          <w:lang w:val="lv-LV"/>
        </w:rPr>
        <w:t xml:space="preserve"> un specifitāt</w:t>
      </w:r>
      <w:r w:rsidR="00DE5374" w:rsidRPr="00321CBD">
        <w:rPr>
          <w:rFonts w:ascii="Times New Roman" w:hAnsi="Times New Roman" w:cs="Times New Roman"/>
          <w:sz w:val="24"/>
          <w:szCs w:val="24"/>
          <w:lang w:val="lv-LV"/>
        </w:rPr>
        <w:t>ei</w:t>
      </w:r>
      <w:r w:rsidR="007D48EE" w:rsidRPr="00321CBD">
        <w:rPr>
          <w:rFonts w:ascii="Times New Roman" w:hAnsi="Times New Roman" w:cs="Times New Roman"/>
          <w:sz w:val="24"/>
          <w:szCs w:val="24"/>
          <w:lang w:val="lv-LV"/>
        </w:rPr>
        <w:t xml:space="preserve"> </w:t>
      </w:r>
      <w:r w:rsidR="00DE5374" w:rsidRPr="00321CBD">
        <w:rPr>
          <w:rFonts w:ascii="Times New Roman" w:hAnsi="Times New Roman" w:cs="Times New Roman"/>
          <w:sz w:val="24"/>
          <w:szCs w:val="24"/>
          <w:lang w:val="lv-LV"/>
        </w:rPr>
        <w:t>(97.9% un 92.9%)</w:t>
      </w:r>
      <w:r w:rsidR="00E43ED3">
        <w:rPr>
          <w:rFonts w:ascii="Times New Roman" w:hAnsi="Times New Roman" w:cs="Times New Roman"/>
          <w:sz w:val="24"/>
          <w:szCs w:val="24"/>
          <w:lang w:val="lv-LV"/>
        </w:rPr>
        <w:t>.</w:t>
      </w:r>
      <w:r w:rsidR="00E43ED3" w:rsidRPr="00E43ED3">
        <w:rPr>
          <w:rFonts w:ascii="Times New Roman" w:hAnsi="Times New Roman" w:cs="Times New Roman"/>
          <w:sz w:val="24"/>
          <w:szCs w:val="24"/>
          <w:vertAlign w:val="superscript"/>
          <w:lang w:val="lv-LV"/>
        </w:rPr>
        <w:t>13</w:t>
      </w:r>
      <w:r w:rsidR="00E43ED3">
        <w:rPr>
          <w:rFonts w:ascii="Times New Roman" w:hAnsi="Times New Roman" w:cs="Times New Roman"/>
          <w:sz w:val="24"/>
          <w:szCs w:val="24"/>
          <w:lang w:val="lv-LV"/>
        </w:rPr>
        <w:t xml:space="preserve"> </w:t>
      </w:r>
      <w:r w:rsidR="007D48EE" w:rsidRPr="00321CBD">
        <w:rPr>
          <w:rFonts w:ascii="Times New Roman" w:hAnsi="Times New Roman" w:cs="Times New Roman"/>
          <w:sz w:val="24"/>
          <w:szCs w:val="24"/>
          <w:lang w:val="lv-LV"/>
        </w:rPr>
        <w:t xml:space="preserve">Savukārt SIS ir daudz lētāka par histeroskopiju, labāk panesama, ja salīdzina ar stacionāra operatīvo histeroskopiju, un vieglāk </w:t>
      </w:r>
      <w:r w:rsidR="00500B02" w:rsidRPr="00321CBD">
        <w:rPr>
          <w:rFonts w:ascii="Times New Roman" w:hAnsi="Times New Roman" w:cs="Times New Roman"/>
          <w:sz w:val="24"/>
          <w:szCs w:val="24"/>
          <w:lang w:val="lv-LV"/>
        </w:rPr>
        <w:t xml:space="preserve">apgūstama metode. </w:t>
      </w:r>
      <w:r w:rsidR="0032613C">
        <w:rPr>
          <w:rFonts w:ascii="Times New Roman" w:hAnsi="Times New Roman" w:cs="Times New Roman"/>
          <w:sz w:val="24"/>
          <w:szCs w:val="24"/>
          <w:lang w:val="lv-LV"/>
        </w:rPr>
        <w:t>Tomēr arī</w:t>
      </w:r>
      <w:r w:rsidR="00500B02" w:rsidRPr="00321CBD">
        <w:rPr>
          <w:rFonts w:ascii="Times New Roman" w:hAnsi="Times New Roman" w:cs="Times New Roman"/>
          <w:sz w:val="24"/>
          <w:szCs w:val="24"/>
          <w:lang w:val="lv-LV"/>
        </w:rPr>
        <w:t xml:space="preserve"> tai piemīt trūkumi. At</w:t>
      </w:r>
      <w:r w:rsidR="0032613C">
        <w:rPr>
          <w:rFonts w:ascii="Times New Roman" w:hAnsi="Times New Roman" w:cs="Times New Roman"/>
          <w:sz w:val="24"/>
          <w:szCs w:val="24"/>
          <w:lang w:val="lv-LV"/>
        </w:rPr>
        <w:t xml:space="preserve">saucoties uz </w:t>
      </w:r>
      <w:r w:rsidR="00500B02" w:rsidRPr="00321CBD">
        <w:rPr>
          <w:rFonts w:ascii="Times New Roman" w:hAnsi="Times New Roman" w:cs="Times New Roman"/>
          <w:sz w:val="24"/>
          <w:szCs w:val="24"/>
          <w:lang w:val="lv-LV"/>
        </w:rPr>
        <w:t>literatūr</w:t>
      </w:r>
      <w:r w:rsidR="0032613C">
        <w:rPr>
          <w:rFonts w:ascii="Times New Roman" w:hAnsi="Times New Roman" w:cs="Times New Roman"/>
          <w:sz w:val="24"/>
          <w:szCs w:val="24"/>
          <w:lang w:val="lv-LV"/>
        </w:rPr>
        <w:t>u</w:t>
      </w:r>
      <w:r w:rsidR="00500B02" w:rsidRPr="00321CBD">
        <w:rPr>
          <w:rFonts w:ascii="Times New Roman" w:hAnsi="Times New Roman" w:cs="Times New Roman"/>
          <w:sz w:val="24"/>
          <w:szCs w:val="24"/>
          <w:lang w:val="lv-LV"/>
        </w:rPr>
        <w:t xml:space="preserve">, līdz 20% gadījumiem metodi </w:t>
      </w:r>
      <w:r w:rsidR="0032613C" w:rsidRPr="00321CBD">
        <w:rPr>
          <w:rFonts w:ascii="Times New Roman" w:hAnsi="Times New Roman" w:cs="Times New Roman"/>
          <w:sz w:val="24"/>
          <w:szCs w:val="24"/>
          <w:lang w:val="lv-LV"/>
        </w:rPr>
        <w:t>nev</w:t>
      </w:r>
      <w:r w:rsidR="0032613C">
        <w:rPr>
          <w:rFonts w:ascii="Times New Roman" w:hAnsi="Times New Roman" w:cs="Times New Roman"/>
          <w:sz w:val="24"/>
          <w:szCs w:val="24"/>
          <w:lang w:val="lv-LV"/>
        </w:rPr>
        <w:t>ar</w:t>
      </w:r>
      <w:r w:rsidR="0032613C" w:rsidRPr="00321CBD">
        <w:rPr>
          <w:rFonts w:ascii="Times New Roman" w:hAnsi="Times New Roman" w:cs="Times New Roman"/>
          <w:sz w:val="24"/>
          <w:szCs w:val="24"/>
          <w:lang w:val="lv-LV"/>
        </w:rPr>
        <w:t xml:space="preserve"> </w:t>
      </w:r>
      <w:r w:rsidR="00500B02" w:rsidRPr="00321CBD">
        <w:rPr>
          <w:rFonts w:ascii="Times New Roman" w:hAnsi="Times New Roman" w:cs="Times New Roman"/>
          <w:sz w:val="24"/>
          <w:szCs w:val="24"/>
          <w:lang w:val="lv-LV"/>
        </w:rPr>
        <w:t>lietot katetra</w:t>
      </w:r>
      <w:r w:rsidR="0032613C">
        <w:rPr>
          <w:rFonts w:ascii="Times New Roman" w:hAnsi="Times New Roman" w:cs="Times New Roman"/>
          <w:sz w:val="24"/>
          <w:szCs w:val="24"/>
          <w:lang w:val="lv-LV"/>
        </w:rPr>
        <w:t>s</w:t>
      </w:r>
      <w:r w:rsidR="00500B02" w:rsidRPr="00321CBD">
        <w:rPr>
          <w:rFonts w:ascii="Times New Roman" w:hAnsi="Times New Roman" w:cs="Times New Roman"/>
          <w:sz w:val="24"/>
          <w:szCs w:val="24"/>
          <w:lang w:val="lv-LV"/>
        </w:rPr>
        <w:t xml:space="preserve"> </w:t>
      </w:r>
      <w:r w:rsidR="0032613C">
        <w:rPr>
          <w:rFonts w:ascii="Times New Roman" w:hAnsi="Times New Roman" w:cs="Times New Roman"/>
          <w:sz w:val="24"/>
          <w:szCs w:val="24"/>
          <w:lang w:val="lv-LV"/>
        </w:rPr>
        <w:t xml:space="preserve">neiespējamas </w:t>
      </w:r>
      <w:r w:rsidR="00500B02" w:rsidRPr="00321CBD">
        <w:rPr>
          <w:rFonts w:ascii="Times New Roman" w:hAnsi="Times New Roman" w:cs="Times New Roman"/>
          <w:sz w:val="24"/>
          <w:szCs w:val="24"/>
          <w:lang w:val="lv-LV"/>
        </w:rPr>
        <w:t xml:space="preserve">ievadīšanas dēļ. Dzemdes dobuma </w:t>
      </w:r>
      <w:r w:rsidR="00DE5374" w:rsidRPr="00321CBD">
        <w:rPr>
          <w:rFonts w:ascii="Times New Roman" w:hAnsi="Times New Roman" w:cs="Times New Roman"/>
          <w:sz w:val="24"/>
          <w:szCs w:val="24"/>
          <w:lang w:val="lv-LV"/>
        </w:rPr>
        <w:t>paplašināšana</w:t>
      </w:r>
      <w:r w:rsidR="00500B02" w:rsidRPr="00321CBD">
        <w:rPr>
          <w:rFonts w:ascii="Times New Roman" w:hAnsi="Times New Roman" w:cs="Times New Roman"/>
          <w:sz w:val="24"/>
          <w:szCs w:val="24"/>
          <w:lang w:val="lv-LV"/>
        </w:rPr>
        <w:t xml:space="preserve"> var būt nepietiek</w:t>
      </w:r>
      <w:r w:rsidR="0032613C">
        <w:rPr>
          <w:rFonts w:ascii="Times New Roman" w:hAnsi="Times New Roman" w:cs="Times New Roman"/>
          <w:sz w:val="24"/>
          <w:szCs w:val="24"/>
          <w:lang w:val="lv-LV"/>
        </w:rPr>
        <w:t>ama</w:t>
      </w:r>
      <w:r w:rsidR="00500B02" w:rsidRPr="00321CBD">
        <w:rPr>
          <w:rFonts w:ascii="Times New Roman" w:hAnsi="Times New Roman" w:cs="Times New Roman"/>
          <w:sz w:val="24"/>
          <w:szCs w:val="24"/>
          <w:lang w:val="lv-LV"/>
        </w:rPr>
        <w:t xml:space="preserve"> lielas dzemdes vai pastiprinātas dzemdes kontraktilitātes dēļ. Beigās, tā nedod iespēju vienā reizē izņemt diagnosticētu patoloģ</w:t>
      </w:r>
      <w:r w:rsidR="00DE5374" w:rsidRPr="00321CBD">
        <w:rPr>
          <w:rFonts w:ascii="Times New Roman" w:hAnsi="Times New Roman" w:cs="Times New Roman"/>
          <w:sz w:val="24"/>
          <w:szCs w:val="24"/>
          <w:lang w:val="lv-LV"/>
        </w:rPr>
        <w:t>i</w:t>
      </w:r>
      <w:r w:rsidR="00500B02" w:rsidRPr="00321CBD">
        <w:rPr>
          <w:rFonts w:ascii="Times New Roman" w:hAnsi="Times New Roman" w:cs="Times New Roman"/>
          <w:sz w:val="24"/>
          <w:szCs w:val="24"/>
          <w:lang w:val="lv-LV"/>
        </w:rPr>
        <w:t>ju no dzemdes dobuma, kas ir iespējams histeroskopijas laikā</w:t>
      </w:r>
      <w:r w:rsidR="00E43ED3">
        <w:rPr>
          <w:rFonts w:ascii="Times New Roman" w:hAnsi="Times New Roman" w:cs="Times New Roman"/>
          <w:sz w:val="24"/>
          <w:szCs w:val="24"/>
          <w:lang w:val="lv-LV"/>
        </w:rPr>
        <w:t>.</w:t>
      </w:r>
      <w:r w:rsidR="00E43ED3" w:rsidRPr="00E43ED3">
        <w:rPr>
          <w:rFonts w:ascii="Times New Roman" w:hAnsi="Times New Roman" w:cs="Times New Roman"/>
          <w:sz w:val="24"/>
          <w:szCs w:val="24"/>
          <w:vertAlign w:val="superscript"/>
          <w:lang w:val="lv-LV"/>
        </w:rPr>
        <w:t>12</w:t>
      </w:r>
      <w:r w:rsidR="00E43ED3">
        <w:rPr>
          <w:rFonts w:ascii="Times New Roman" w:hAnsi="Times New Roman" w:cs="Times New Roman"/>
          <w:sz w:val="24"/>
          <w:szCs w:val="24"/>
          <w:lang w:val="lv-LV"/>
        </w:rPr>
        <w:t xml:space="preserve"> </w:t>
      </w:r>
      <w:r w:rsidR="0032613C">
        <w:rPr>
          <w:rFonts w:ascii="Times New Roman" w:hAnsi="Times New Roman" w:cs="Times New Roman"/>
          <w:sz w:val="24"/>
          <w:szCs w:val="24"/>
          <w:lang w:val="lv-LV"/>
        </w:rPr>
        <w:t xml:space="preserve">Neņemot vērā iepriekš minētos </w:t>
      </w:r>
      <w:r w:rsidR="0032613C">
        <w:rPr>
          <w:rFonts w:ascii="Times New Roman" w:hAnsi="Times New Roman" w:cs="Times New Roman"/>
          <w:sz w:val="24"/>
          <w:szCs w:val="24"/>
          <w:lang w:val="lv-LV"/>
        </w:rPr>
        <w:lastRenderedPageBreak/>
        <w:t>trūkumus,</w:t>
      </w:r>
      <w:r w:rsidR="00500B02" w:rsidRPr="00321CBD">
        <w:rPr>
          <w:rFonts w:ascii="Times New Roman" w:hAnsi="Times New Roman" w:cs="Times New Roman"/>
          <w:sz w:val="24"/>
          <w:szCs w:val="24"/>
          <w:lang w:val="lv-LV"/>
        </w:rPr>
        <w:t xml:space="preserve"> SIS ir labi piemērota metode ambulatorai praksei, jo ir labi panesama</w:t>
      </w:r>
      <w:r w:rsidR="0032613C">
        <w:rPr>
          <w:rFonts w:ascii="Times New Roman" w:hAnsi="Times New Roman" w:cs="Times New Roman"/>
          <w:sz w:val="24"/>
          <w:szCs w:val="24"/>
          <w:lang w:val="lv-LV"/>
        </w:rPr>
        <w:t xml:space="preserve"> </w:t>
      </w:r>
      <w:r w:rsidR="00500B02" w:rsidRPr="00321CBD">
        <w:rPr>
          <w:rFonts w:ascii="Times New Roman" w:hAnsi="Times New Roman" w:cs="Times New Roman"/>
          <w:sz w:val="24"/>
          <w:szCs w:val="24"/>
          <w:lang w:val="lv-LV"/>
        </w:rPr>
        <w:t>un komplikāciju risk</w:t>
      </w:r>
      <w:r w:rsidR="00DE5374" w:rsidRPr="00321CBD">
        <w:rPr>
          <w:rFonts w:ascii="Times New Roman" w:hAnsi="Times New Roman" w:cs="Times New Roman"/>
          <w:sz w:val="24"/>
          <w:szCs w:val="24"/>
          <w:lang w:val="lv-LV"/>
        </w:rPr>
        <w:t>s</w:t>
      </w:r>
      <w:r w:rsidR="00500B02" w:rsidRPr="00321CBD">
        <w:rPr>
          <w:rFonts w:ascii="Times New Roman" w:hAnsi="Times New Roman" w:cs="Times New Roman"/>
          <w:sz w:val="24"/>
          <w:szCs w:val="24"/>
          <w:lang w:val="lv-LV"/>
        </w:rPr>
        <w:t xml:space="preserve"> ir niecīg</w:t>
      </w:r>
      <w:r w:rsidR="00DE5374" w:rsidRPr="00321CBD">
        <w:rPr>
          <w:rFonts w:ascii="Times New Roman" w:hAnsi="Times New Roman" w:cs="Times New Roman"/>
          <w:sz w:val="24"/>
          <w:szCs w:val="24"/>
          <w:lang w:val="lv-LV"/>
        </w:rPr>
        <w:t>s</w:t>
      </w:r>
      <w:r w:rsidR="00500B02" w:rsidRPr="00321CBD">
        <w:rPr>
          <w:rFonts w:ascii="Times New Roman" w:hAnsi="Times New Roman" w:cs="Times New Roman"/>
          <w:sz w:val="24"/>
          <w:szCs w:val="24"/>
          <w:lang w:val="lv-LV"/>
        </w:rPr>
        <w:t>.</w:t>
      </w:r>
    </w:p>
    <w:p w14:paraId="7B2C3D8D" w14:textId="6EFD1589" w:rsidR="008A1720" w:rsidRPr="00321CBD" w:rsidRDefault="00500B02" w:rsidP="008A1720">
      <w:pPr>
        <w:autoSpaceDE w:val="0"/>
        <w:autoSpaceDN w:val="0"/>
        <w:adjustRightInd w:val="0"/>
        <w:spacing w:after="0" w:line="360" w:lineRule="auto"/>
        <w:jc w:val="both"/>
        <w:rPr>
          <w:rFonts w:ascii="Times New Roman" w:eastAsia="AdvP4DF60E" w:hAnsi="Times New Roman" w:cs="Times New Roman"/>
          <w:sz w:val="24"/>
          <w:szCs w:val="24"/>
          <w:lang w:val="lv-LV"/>
        </w:rPr>
      </w:pPr>
      <w:r w:rsidRPr="00321CBD">
        <w:rPr>
          <w:rFonts w:ascii="Times New Roman" w:eastAsia="AdvP4DF60E" w:hAnsi="Times New Roman" w:cs="Times New Roman"/>
          <w:sz w:val="24"/>
          <w:szCs w:val="24"/>
          <w:lang w:val="lv-LV"/>
        </w:rPr>
        <w:tab/>
      </w:r>
      <w:r w:rsidR="003C5C60" w:rsidRPr="00321CBD">
        <w:rPr>
          <w:rFonts w:ascii="Times New Roman" w:eastAsia="AdvP4DF60E" w:hAnsi="Times New Roman" w:cs="Times New Roman"/>
          <w:sz w:val="24"/>
          <w:szCs w:val="24"/>
          <w:lang w:val="lv-LV"/>
        </w:rPr>
        <w:t>Histeroskopija</w:t>
      </w:r>
      <w:r w:rsidR="0040577A">
        <w:rPr>
          <w:rFonts w:ascii="Times New Roman" w:eastAsia="AdvP4DF60E" w:hAnsi="Times New Roman" w:cs="Times New Roman"/>
          <w:sz w:val="24"/>
          <w:szCs w:val="24"/>
          <w:lang w:val="lv-LV"/>
        </w:rPr>
        <w:t xml:space="preserve"> un</w:t>
      </w:r>
      <w:r w:rsidR="0032613C">
        <w:rPr>
          <w:rFonts w:ascii="Times New Roman" w:eastAsia="AdvP4DF60E" w:hAnsi="Times New Roman" w:cs="Times New Roman"/>
          <w:sz w:val="24"/>
          <w:szCs w:val="24"/>
          <w:lang w:val="lv-LV"/>
        </w:rPr>
        <w:t xml:space="preserve"> h</w:t>
      </w:r>
      <w:r w:rsidR="0031336D" w:rsidRPr="00321CBD">
        <w:rPr>
          <w:rFonts w:ascii="Times New Roman" w:eastAsia="AdvP4DF60E" w:hAnsi="Times New Roman" w:cs="Times New Roman"/>
          <w:sz w:val="24"/>
          <w:szCs w:val="24"/>
          <w:lang w:val="lv-LV"/>
        </w:rPr>
        <w:t>isterorezektoskopija</w:t>
      </w:r>
      <w:r w:rsidR="003C5C60" w:rsidRPr="00321CBD">
        <w:rPr>
          <w:rFonts w:ascii="Times New Roman" w:eastAsia="AdvP4DF60E" w:hAnsi="Times New Roman" w:cs="Times New Roman"/>
          <w:sz w:val="24"/>
          <w:szCs w:val="24"/>
          <w:lang w:val="lv-LV"/>
        </w:rPr>
        <w:t xml:space="preserve"> ir vēl viena dzemdes dobuma </w:t>
      </w:r>
      <w:r w:rsidR="00730729" w:rsidRPr="00321CBD">
        <w:rPr>
          <w:rFonts w:ascii="Times New Roman" w:eastAsia="AdvP4DF60E" w:hAnsi="Times New Roman" w:cs="Times New Roman"/>
          <w:sz w:val="24"/>
          <w:szCs w:val="24"/>
          <w:lang w:val="lv-LV"/>
        </w:rPr>
        <w:t xml:space="preserve">patoloģiju </w:t>
      </w:r>
      <w:r w:rsidR="003C5C60" w:rsidRPr="00321CBD">
        <w:rPr>
          <w:rFonts w:ascii="Times New Roman" w:eastAsia="AdvP4DF60E" w:hAnsi="Times New Roman" w:cs="Times New Roman"/>
          <w:sz w:val="24"/>
          <w:szCs w:val="24"/>
          <w:lang w:val="lv-LV"/>
        </w:rPr>
        <w:t>diagnostikas metode. Atšķirībā no pārējām diagnostikas metodēm</w:t>
      </w:r>
      <w:r w:rsidR="0032613C">
        <w:rPr>
          <w:rFonts w:ascii="Times New Roman" w:eastAsia="AdvP4DF60E" w:hAnsi="Times New Roman" w:cs="Times New Roman"/>
          <w:sz w:val="24"/>
          <w:szCs w:val="24"/>
          <w:lang w:val="lv-LV"/>
        </w:rPr>
        <w:t>,</w:t>
      </w:r>
      <w:r w:rsidR="003C5C60" w:rsidRPr="00321CBD">
        <w:rPr>
          <w:rFonts w:ascii="Times New Roman" w:eastAsia="AdvP4DF60E" w:hAnsi="Times New Roman" w:cs="Times New Roman"/>
          <w:sz w:val="24"/>
          <w:szCs w:val="24"/>
          <w:lang w:val="lv-LV"/>
        </w:rPr>
        <w:t xml:space="preserve"> tai piemīt ļoti svarīgas īpašības. Pirmā – tā ir tiešās vīzijas procedūra. Ne viena cita metode nedod iespēju </w:t>
      </w:r>
      <w:r w:rsidR="0032613C">
        <w:rPr>
          <w:rFonts w:ascii="Times New Roman" w:eastAsia="AdvP4DF60E" w:hAnsi="Times New Roman" w:cs="Times New Roman"/>
          <w:sz w:val="24"/>
          <w:szCs w:val="24"/>
          <w:lang w:val="lv-LV"/>
        </w:rPr>
        <w:t>“</w:t>
      </w:r>
      <w:r w:rsidR="003C5C60" w:rsidRPr="00321CBD">
        <w:rPr>
          <w:rFonts w:ascii="Times New Roman" w:eastAsia="AdvP4DF60E" w:hAnsi="Times New Roman" w:cs="Times New Roman"/>
          <w:sz w:val="24"/>
          <w:szCs w:val="24"/>
          <w:lang w:val="lv-LV"/>
        </w:rPr>
        <w:t>ar aci</w:t>
      </w:r>
      <w:r w:rsidR="0032613C">
        <w:rPr>
          <w:rFonts w:ascii="Times New Roman" w:eastAsia="AdvP4DF60E" w:hAnsi="Times New Roman" w:cs="Times New Roman"/>
          <w:sz w:val="24"/>
          <w:szCs w:val="24"/>
          <w:lang w:val="lv-LV"/>
        </w:rPr>
        <w:t>”</w:t>
      </w:r>
      <w:r w:rsidR="003C5C60" w:rsidRPr="00321CBD">
        <w:rPr>
          <w:rFonts w:ascii="Times New Roman" w:eastAsia="AdvP4DF60E" w:hAnsi="Times New Roman" w:cs="Times New Roman"/>
          <w:sz w:val="24"/>
          <w:szCs w:val="24"/>
          <w:lang w:val="lv-LV"/>
        </w:rPr>
        <w:t xml:space="preserve"> </w:t>
      </w:r>
      <w:r w:rsidR="00730729" w:rsidRPr="00321CBD">
        <w:rPr>
          <w:rFonts w:ascii="Times New Roman" w:eastAsia="AdvP4DF60E" w:hAnsi="Times New Roman" w:cs="Times New Roman"/>
          <w:sz w:val="24"/>
          <w:szCs w:val="24"/>
          <w:lang w:val="lv-LV"/>
        </w:rPr>
        <w:t xml:space="preserve">ieskatīties </w:t>
      </w:r>
      <w:r w:rsidR="003C5C60" w:rsidRPr="00321CBD">
        <w:rPr>
          <w:rFonts w:ascii="Times New Roman" w:eastAsia="AdvP4DF60E" w:hAnsi="Times New Roman" w:cs="Times New Roman"/>
          <w:sz w:val="24"/>
          <w:szCs w:val="24"/>
          <w:lang w:val="lv-LV"/>
        </w:rPr>
        <w:t>dzemdes dobumā</w:t>
      </w:r>
      <w:r w:rsidR="0032613C">
        <w:rPr>
          <w:rFonts w:ascii="Times New Roman" w:eastAsia="AdvP4DF60E" w:hAnsi="Times New Roman" w:cs="Times New Roman"/>
          <w:sz w:val="24"/>
          <w:szCs w:val="24"/>
          <w:lang w:val="lv-LV"/>
        </w:rPr>
        <w:t xml:space="preserve">, </w:t>
      </w:r>
      <w:r w:rsidR="003C5C60" w:rsidRPr="00321CBD">
        <w:rPr>
          <w:rFonts w:ascii="Times New Roman" w:eastAsia="AdvP4DF60E" w:hAnsi="Times New Roman" w:cs="Times New Roman"/>
          <w:sz w:val="24"/>
          <w:szCs w:val="24"/>
          <w:lang w:val="lv-LV"/>
        </w:rPr>
        <w:t>ar ko palielinās šīs metodes sensitivitāte. Otr</w:t>
      </w:r>
      <w:r w:rsidR="00730729" w:rsidRPr="00321CBD">
        <w:rPr>
          <w:rFonts w:ascii="Times New Roman" w:eastAsia="AdvP4DF60E" w:hAnsi="Times New Roman" w:cs="Times New Roman"/>
          <w:sz w:val="24"/>
          <w:szCs w:val="24"/>
          <w:lang w:val="lv-LV"/>
        </w:rPr>
        <w:t>ā</w:t>
      </w:r>
      <w:r w:rsidR="003C5C60" w:rsidRPr="00321CBD">
        <w:rPr>
          <w:rFonts w:ascii="Times New Roman" w:eastAsia="AdvP4DF60E" w:hAnsi="Times New Roman" w:cs="Times New Roman"/>
          <w:sz w:val="24"/>
          <w:szCs w:val="24"/>
          <w:lang w:val="lv-LV"/>
        </w:rPr>
        <w:t xml:space="preserve"> īpašība</w:t>
      </w:r>
      <w:r w:rsidR="00730729" w:rsidRPr="00321CBD">
        <w:rPr>
          <w:rFonts w:ascii="Times New Roman" w:eastAsia="AdvP4DF60E" w:hAnsi="Times New Roman" w:cs="Times New Roman"/>
          <w:sz w:val="24"/>
          <w:szCs w:val="24"/>
          <w:lang w:val="lv-LV"/>
        </w:rPr>
        <w:t xml:space="preserve"> -</w:t>
      </w:r>
      <w:r w:rsidR="003C5C60" w:rsidRPr="00321CBD">
        <w:rPr>
          <w:rFonts w:ascii="Times New Roman" w:eastAsia="AdvP4DF60E" w:hAnsi="Times New Roman" w:cs="Times New Roman"/>
          <w:sz w:val="24"/>
          <w:szCs w:val="24"/>
          <w:lang w:val="lv-LV"/>
        </w:rPr>
        <w:t xml:space="preserve"> ir terapijas iespējas. </w:t>
      </w:r>
      <w:r w:rsidR="005F0533" w:rsidRPr="00321CBD">
        <w:rPr>
          <w:rFonts w:ascii="Times New Roman" w:eastAsia="AdvP4DF60E" w:hAnsi="Times New Roman" w:cs="Times New Roman"/>
          <w:sz w:val="24"/>
          <w:szCs w:val="24"/>
          <w:lang w:val="lv-LV"/>
        </w:rPr>
        <w:t>H</w:t>
      </w:r>
      <w:r w:rsidR="003C5C60" w:rsidRPr="00321CBD">
        <w:rPr>
          <w:rFonts w:ascii="Times New Roman" w:eastAsia="AdvP4DF60E" w:hAnsi="Times New Roman" w:cs="Times New Roman"/>
          <w:sz w:val="24"/>
          <w:szCs w:val="24"/>
          <w:lang w:val="lv-LV"/>
        </w:rPr>
        <w:t xml:space="preserve">isteroskopam ir </w:t>
      </w:r>
      <w:r w:rsidR="002B7DA2" w:rsidRPr="00321CBD">
        <w:rPr>
          <w:rFonts w:ascii="Times New Roman" w:eastAsia="AdvP4DF60E" w:hAnsi="Times New Roman" w:cs="Times New Roman"/>
          <w:sz w:val="24"/>
          <w:szCs w:val="24"/>
          <w:lang w:val="lv-LV"/>
        </w:rPr>
        <w:t xml:space="preserve">iespēja paņemt biopsiju no iespējamas patoloģiskas vietas un vienā </w:t>
      </w:r>
      <w:r w:rsidR="00730729" w:rsidRPr="00321CBD">
        <w:rPr>
          <w:rFonts w:ascii="Times New Roman" w:eastAsia="AdvP4DF60E" w:hAnsi="Times New Roman" w:cs="Times New Roman"/>
          <w:sz w:val="24"/>
          <w:szCs w:val="24"/>
          <w:lang w:val="lv-LV"/>
        </w:rPr>
        <w:t>piegājiena</w:t>
      </w:r>
      <w:r w:rsidR="002B7DA2" w:rsidRPr="00321CBD">
        <w:rPr>
          <w:rFonts w:ascii="Times New Roman" w:eastAsia="AdvP4DF60E" w:hAnsi="Times New Roman" w:cs="Times New Roman"/>
          <w:sz w:val="24"/>
          <w:szCs w:val="24"/>
          <w:lang w:val="lv-LV"/>
        </w:rPr>
        <w:t xml:space="preserve"> patoloģiju arī izņemt</w:t>
      </w:r>
      <w:r w:rsidR="0032613C">
        <w:rPr>
          <w:rFonts w:ascii="Times New Roman" w:eastAsia="AdvP4DF60E" w:hAnsi="Times New Roman" w:cs="Times New Roman"/>
          <w:sz w:val="24"/>
          <w:szCs w:val="24"/>
          <w:lang w:val="lv-LV"/>
        </w:rPr>
        <w:t>, t</w:t>
      </w:r>
      <w:r w:rsidR="002B7DA2" w:rsidRPr="00321CBD">
        <w:rPr>
          <w:rFonts w:ascii="Times New Roman" w:eastAsia="AdvP4DF60E" w:hAnsi="Times New Roman" w:cs="Times New Roman"/>
          <w:sz w:val="24"/>
          <w:szCs w:val="24"/>
          <w:lang w:val="lv-LV"/>
        </w:rPr>
        <w:t xml:space="preserve">ādējādi samazinot pacienta vizīšu skaitu. Histeroskopija var tikt veikta </w:t>
      </w:r>
      <w:r w:rsidR="002970C0" w:rsidRPr="00321CBD">
        <w:rPr>
          <w:rFonts w:ascii="Times New Roman" w:eastAsia="AdvP4DF60E" w:hAnsi="Times New Roman" w:cs="Times New Roman"/>
          <w:sz w:val="24"/>
          <w:szCs w:val="24"/>
          <w:lang w:val="lv-LV"/>
        </w:rPr>
        <w:t xml:space="preserve">gan ambulatoros apstākļos, gan stacionārā. Stacionāra apstākļos visbiežāk tiek veiktas lielākas operācijas kā miomas mezgla enukleācija vai endometrija ablācijas. </w:t>
      </w:r>
      <w:r w:rsidR="00BA025F" w:rsidRPr="00321CBD">
        <w:rPr>
          <w:rFonts w:ascii="Times New Roman" w:eastAsia="AdvP4DF60E" w:hAnsi="Times New Roman" w:cs="Times New Roman"/>
          <w:sz w:val="24"/>
          <w:szCs w:val="24"/>
          <w:lang w:val="lv-LV"/>
        </w:rPr>
        <w:t xml:space="preserve">Šī metode pamazām </w:t>
      </w:r>
      <w:r w:rsidR="00CE7751" w:rsidRPr="00321CBD">
        <w:rPr>
          <w:rFonts w:ascii="Times New Roman" w:eastAsia="AdvP4DF60E" w:hAnsi="Times New Roman" w:cs="Times New Roman"/>
          <w:sz w:val="24"/>
          <w:szCs w:val="24"/>
          <w:lang w:val="lv-LV"/>
        </w:rPr>
        <w:t xml:space="preserve">aizstāj dzemdes dobuma kiretāžu. </w:t>
      </w:r>
      <w:r w:rsidR="00997DF7" w:rsidRPr="00321CBD">
        <w:rPr>
          <w:rFonts w:ascii="Times New Roman" w:eastAsia="AdvP4DF60E" w:hAnsi="Times New Roman" w:cs="Times New Roman"/>
          <w:sz w:val="24"/>
          <w:szCs w:val="24"/>
          <w:lang w:val="lv-LV"/>
        </w:rPr>
        <w:t>Tiek apgalvots, ka no 10% līdz 25% gadījum</w:t>
      </w:r>
      <w:r w:rsidR="0018215F">
        <w:rPr>
          <w:rFonts w:ascii="Times New Roman" w:eastAsia="AdvP4DF60E" w:hAnsi="Times New Roman" w:cs="Times New Roman"/>
          <w:sz w:val="24"/>
          <w:szCs w:val="24"/>
          <w:lang w:val="lv-LV"/>
        </w:rPr>
        <w:t>iem</w:t>
      </w:r>
      <w:r w:rsidR="00E43ED3">
        <w:rPr>
          <w:rFonts w:ascii="Times New Roman" w:eastAsia="AdvP4DF60E" w:hAnsi="Times New Roman" w:cs="Times New Roman"/>
          <w:sz w:val="24"/>
          <w:szCs w:val="24"/>
          <w:lang w:val="lv-LV"/>
        </w:rPr>
        <w:t>,</w:t>
      </w:r>
      <w:r w:rsidR="00E43ED3" w:rsidRPr="00E43ED3">
        <w:rPr>
          <w:rFonts w:ascii="Times New Roman" w:eastAsia="AdvP4DF60E" w:hAnsi="Times New Roman" w:cs="Times New Roman"/>
          <w:sz w:val="24"/>
          <w:szCs w:val="24"/>
          <w:vertAlign w:val="superscript"/>
          <w:lang w:val="lv-LV"/>
        </w:rPr>
        <w:t>2</w:t>
      </w:r>
      <w:r w:rsidR="00E43ED3">
        <w:rPr>
          <w:rFonts w:ascii="Times New Roman" w:eastAsia="AdvP4DF60E" w:hAnsi="Times New Roman" w:cs="Times New Roman"/>
          <w:sz w:val="24"/>
          <w:szCs w:val="24"/>
          <w:lang w:val="lv-LV"/>
        </w:rPr>
        <w:t xml:space="preserve"> </w:t>
      </w:r>
      <w:r w:rsidR="00CB24BB" w:rsidRPr="00321CBD">
        <w:rPr>
          <w:rFonts w:ascii="Times New Roman" w:eastAsia="AdvP4DF60E" w:hAnsi="Times New Roman" w:cs="Times New Roman"/>
          <w:sz w:val="24"/>
          <w:szCs w:val="24"/>
          <w:lang w:val="lv-LV"/>
        </w:rPr>
        <w:t>bet atsevišķos gadījumos pat līdz 60%</w:t>
      </w:r>
      <w:r w:rsidR="00E43ED3" w:rsidRPr="00E43ED3">
        <w:rPr>
          <w:rFonts w:ascii="Times New Roman" w:eastAsia="AdvP4DF60E" w:hAnsi="Times New Roman" w:cs="Times New Roman"/>
          <w:sz w:val="24"/>
          <w:szCs w:val="24"/>
          <w:vertAlign w:val="superscript"/>
          <w:lang w:val="lv-LV"/>
        </w:rPr>
        <w:t>10</w:t>
      </w:r>
      <w:r w:rsidR="00BE7924">
        <w:rPr>
          <w:rFonts w:ascii="Times New Roman" w:eastAsia="AdvP4DF60E" w:hAnsi="Times New Roman" w:cs="Times New Roman"/>
          <w:sz w:val="24"/>
          <w:szCs w:val="24"/>
          <w:lang w:val="lv-LV"/>
        </w:rPr>
        <w:t xml:space="preserve"> </w:t>
      </w:r>
      <w:r w:rsidR="00997DF7" w:rsidRPr="00321CBD">
        <w:rPr>
          <w:rFonts w:ascii="Times New Roman" w:eastAsia="AdvP4DF60E" w:hAnsi="Times New Roman" w:cs="Times New Roman"/>
          <w:sz w:val="24"/>
          <w:szCs w:val="24"/>
          <w:lang w:val="lv-LV"/>
        </w:rPr>
        <w:t xml:space="preserve">dzemdes dobuma </w:t>
      </w:r>
      <w:r w:rsidR="00730729" w:rsidRPr="00321CBD">
        <w:rPr>
          <w:rFonts w:ascii="Times New Roman" w:eastAsia="AdvP4DF60E" w:hAnsi="Times New Roman" w:cs="Times New Roman"/>
          <w:sz w:val="24"/>
          <w:szCs w:val="24"/>
          <w:lang w:val="lv-LV"/>
        </w:rPr>
        <w:t>k</w:t>
      </w:r>
      <w:r w:rsidR="00997DF7" w:rsidRPr="00321CBD">
        <w:rPr>
          <w:rFonts w:ascii="Times New Roman" w:eastAsia="AdvP4DF60E" w:hAnsi="Times New Roman" w:cs="Times New Roman"/>
          <w:sz w:val="24"/>
          <w:szCs w:val="24"/>
          <w:lang w:val="lv-LV"/>
        </w:rPr>
        <w:t>iretāža var nedot vēlamu rezultātu</w:t>
      </w:r>
      <w:r w:rsidR="008A1720" w:rsidRPr="00321CBD">
        <w:rPr>
          <w:rFonts w:ascii="Times New Roman" w:eastAsia="AdvP4DF60E" w:hAnsi="Times New Roman" w:cs="Times New Roman"/>
          <w:sz w:val="24"/>
          <w:szCs w:val="24"/>
          <w:lang w:val="lv-LV"/>
        </w:rPr>
        <w:t>.</w:t>
      </w:r>
    </w:p>
    <w:p w14:paraId="6B425298" w14:textId="6444E9BD" w:rsidR="008A1720" w:rsidRPr="00321CBD" w:rsidRDefault="008A1720" w:rsidP="008A1720">
      <w:pPr>
        <w:autoSpaceDE w:val="0"/>
        <w:autoSpaceDN w:val="0"/>
        <w:adjustRightInd w:val="0"/>
        <w:spacing w:after="0" w:line="360" w:lineRule="auto"/>
        <w:jc w:val="both"/>
        <w:rPr>
          <w:rFonts w:ascii="Times New Roman" w:eastAsia="AdvP4DF60E" w:hAnsi="Times New Roman" w:cs="Times New Roman"/>
          <w:sz w:val="24"/>
          <w:szCs w:val="24"/>
          <w:lang w:val="lv-LV"/>
        </w:rPr>
      </w:pPr>
      <w:r w:rsidRPr="00321CBD">
        <w:rPr>
          <w:rFonts w:ascii="Times New Roman" w:eastAsia="AdvP4DF60E" w:hAnsi="Times New Roman" w:cs="Times New Roman"/>
          <w:sz w:val="24"/>
          <w:szCs w:val="24"/>
          <w:lang w:val="lv-LV"/>
        </w:rPr>
        <w:tab/>
      </w:r>
      <w:r w:rsidR="00CE7751" w:rsidRPr="00321CBD">
        <w:rPr>
          <w:rFonts w:ascii="Times New Roman" w:eastAsia="AdvP4DF60E" w:hAnsi="Times New Roman" w:cs="Times New Roman"/>
          <w:sz w:val="24"/>
          <w:szCs w:val="24"/>
          <w:lang w:val="lv-LV"/>
        </w:rPr>
        <w:t xml:space="preserve">Magnētrezonanse ir </w:t>
      </w:r>
      <w:r w:rsidRPr="00321CBD">
        <w:rPr>
          <w:rFonts w:ascii="Times New Roman" w:eastAsia="AdvP4DF60E" w:hAnsi="Times New Roman" w:cs="Times New Roman"/>
          <w:sz w:val="24"/>
          <w:szCs w:val="24"/>
          <w:lang w:val="lv-LV"/>
        </w:rPr>
        <w:t>jūtīga</w:t>
      </w:r>
      <w:r w:rsidR="00CE7751" w:rsidRPr="00321CBD">
        <w:rPr>
          <w:rFonts w:ascii="Times New Roman" w:eastAsia="AdvP4DF60E" w:hAnsi="Times New Roman" w:cs="Times New Roman"/>
          <w:sz w:val="24"/>
          <w:szCs w:val="24"/>
          <w:lang w:val="lv-LV"/>
        </w:rPr>
        <w:t xml:space="preserve"> attēldiagnostikas metode un</w:t>
      </w:r>
      <w:r w:rsidRPr="00321CBD">
        <w:rPr>
          <w:rFonts w:ascii="Times New Roman" w:eastAsia="AdvP4DF60E" w:hAnsi="Times New Roman" w:cs="Times New Roman"/>
          <w:sz w:val="24"/>
          <w:szCs w:val="24"/>
          <w:lang w:val="lv-LV"/>
        </w:rPr>
        <w:t xml:space="preserve"> ti</w:t>
      </w:r>
      <w:r w:rsidR="00CE7751" w:rsidRPr="00321CBD">
        <w:rPr>
          <w:rFonts w:ascii="Times New Roman" w:eastAsia="AdvP4DF60E" w:hAnsi="Times New Roman" w:cs="Times New Roman"/>
          <w:sz w:val="24"/>
          <w:szCs w:val="24"/>
          <w:lang w:val="lv-LV"/>
        </w:rPr>
        <w:t>ek reti</w:t>
      </w:r>
      <w:r w:rsidRPr="00321CBD">
        <w:rPr>
          <w:rFonts w:ascii="Times New Roman" w:eastAsia="AdvP4DF60E" w:hAnsi="Times New Roman" w:cs="Times New Roman"/>
          <w:sz w:val="24"/>
          <w:szCs w:val="24"/>
          <w:lang w:val="lv-LV"/>
        </w:rPr>
        <w:t xml:space="preserve"> </w:t>
      </w:r>
      <w:r w:rsidR="00CE7751" w:rsidRPr="00321CBD">
        <w:rPr>
          <w:rFonts w:ascii="Times New Roman" w:eastAsia="AdvP4DF60E" w:hAnsi="Times New Roman" w:cs="Times New Roman"/>
          <w:sz w:val="24"/>
          <w:szCs w:val="24"/>
          <w:lang w:val="lv-LV"/>
        </w:rPr>
        <w:t>pielietota</w:t>
      </w:r>
      <w:r w:rsidRPr="00321CBD">
        <w:rPr>
          <w:rFonts w:ascii="Times New Roman" w:eastAsia="AdvP4DF60E" w:hAnsi="Times New Roman" w:cs="Times New Roman"/>
          <w:sz w:val="24"/>
          <w:szCs w:val="24"/>
          <w:lang w:val="lv-LV"/>
        </w:rPr>
        <w:t xml:space="preserve"> dzemdes dobuma patoloģiju izvērtēšanai</w:t>
      </w:r>
      <w:r w:rsidR="00BE7924">
        <w:rPr>
          <w:rFonts w:ascii="Times New Roman" w:eastAsia="AdvP4DF60E" w:hAnsi="Times New Roman" w:cs="Times New Roman"/>
          <w:sz w:val="24"/>
          <w:szCs w:val="24"/>
          <w:lang w:val="lv-LV"/>
        </w:rPr>
        <w:t>. Tā tiek lietota</w:t>
      </w:r>
      <w:r w:rsidRPr="00321CBD">
        <w:rPr>
          <w:rFonts w:ascii="Times New Roman" w:eastAsia="AdvP4DF60E" w:hAnsi="Times New Roman" w:cs="Times New Roman"/>
          <w:sz w:val="24"/>
          <w:szCs w:val="24"/>
          <w:lang w:val="lv-LV"/>
        </w:rPr>
        <w:t xml:space="preserve"> </w:t>
      </w:r>
      <w:r w:rsidR="00730729" w:rsidRPr="00321CBD">
        <w:rPr>
          <w:rFonts w:ascii="Times New Roman" w:eastAsia="AdvP4DF60E" w:hAnsi="Times New Roman" w:cs="Times New Roman"/>
          <w:sz w:val="24"/>
          <w:szCs w:val="24"/>
          <w:lang w:val="lv-LV"/>
        </w:rPr>
        <w:t>tikai</w:t>
      </w:r>
      <w:r w:rsidR="00BE7924">
        <w:rPr>
          <w:rFonts w:ascii="Times New Roman" w:eastAsia="AdvP4DF60E" w:hAnsi="Times New Roman" w:cs="Times New Roman"/>
          <w:sz w:val="24"/>
          <w:szCs w:val="24"/>
          <w:lang w:val="lv-LV"/>
        </w:rPr>
        <w:t xml:space="preserve"> tad,</w:t>
      </w:r>
      <w:r w:rsidR="00730729" w:rsidRPr="00321CBD">
        <w:rPr>
          <w:rFonts w:ascii="Times New Roman" w:eastAsia="AdvP4DF60E" w:hAnsi="Times New Roman" w:cs="Times New Roman"/>
          <w:sz w:val="24"/>
          <w:szCs w:val="24"/>
          <w:lang w:val="lv-LV"/>
        </w:rPr>
        <w:t xml:space="preserve"> </w:t>
      </w:r>
      <w:r w:rsidRPr="00321CBD">
        <w:rPr>
          <w:rFonts w:ascii="Times New Roman" w:eastAsia="AdvP4DF60E" w:hAnsi="Times New Roman" w:cs="Times New Roman"/>
          <w:sz w:val="24"/>
          <w:szCs w:val="24"/>
          <w:lang w:val="lv-LV"/>
        </w:rPr>
        <w:t xml:space="preserve">ja </w:t>
      </w:r>
      <w:r w:rsidR="00CE7751" w:rsidRPr="00321CBD">
        <w:rPr>
          <w:rFonts w:ascii="Times New Roman" w:eastAsia="AdvP4DF60E" w:hAnsi="Times New Roman" w:cs="Times New Roman"/>
          <w:sz w:val="24"/>
          <w:szCs w:val="24"/>
          <w:lang w:val="lv-LV"/>
        </w:rPr>
        <w:t>iepriekšējie diagnostikas veidi konkrētā gadījumā nav informatīvi</w:t>
      </w:r>
      <w:r w:rsidRPr="00321CBD">
        <w:rPr>
          <w:rFonts w:ascii="Times New Roman" w:eastAsia="AdvP4DF60E" w:hAnsi="Times New Roman" w:cs="Times New Roman"/>
          <w:sz w:val="24"/>
          <w:szCs w:val="24"/>
          <w:lang w:val="lv-LV"/>
        </w:rPr>
        <w:t xml:space="preserve">. Taču </w:t>
      </w:r>
      <w:r w:rsidR="00730729" w:rsidRPr="00321CBD">
        <w:rPr>
          <w:rFonts w:ascii="Times New Roman" w:eastAsia="AdvP4DF60E" w:hAnsi="Times New Roman" w:cs="Times New Roman"/>
          <w:sz w:val="24"/>
          <w:szCs w:val="24"/>
          <w:lang w:val="lv-LV"/>
        </w:rPr>
        <w:t>šī</w:t>
      </w:r>
      <w:r w:rsidRPr="00321CBD">
        <w:rPr>
          <w:rFonts w:ascii="Times New Roman" w:eastAsia="AdvP4DF60E" w:hAnsi="Times New Roman" w:cs="Times New Roman"/>
          <w:sz w:val="24"/>
          <w:szCs w:val="24"/>
          <w:lang w:val="lv-LV"/>
        </w:rPr>
        <w:t xml:space="preserve"> metode ir laikietilpīga, samēr</w:t>
      </w:r>
      <w:r w:rsidR="00BE7924">
        <w:rPr>
          <w:rFonts w:ascii="Times New Roman" w:eastAsia="AdvP4DF60E" w:hAnsi="Times New Roman" w:cs="Times New Roman"/>
          <w:sz w:val="24"/>
          <w:szCs w:val="24"/>
          <w:lang w:val="lv-LV"/>
        </w:rPr>
        <w:t>ā</w:t>
      </w:r>
      <w:r w:rsidRPr="00321CBD">
        <w:rPr>
          <w:rFonts w:ascii="Times New Roman" w:eastAsia="AdvP4DF60E" w:hAnsi="Times New Roman" w:cs="Times New Roman"/>
          <w:sz w:val="24"/>
          <w:szCs w:val="24"/>
          <w:lang w:val="lv-LV"/>
        </w:rPr>
        <w:t xml:space="preserve"> dārga un </w:t>
      </w:r>
      <w:r w:rsidR="005517D8">
        <w:rPr>
          <w:rFonts w:ascii="Times New Roman" w:eastAsia="AdvP4DF60E" w:hAnsi="Times New Roman" w:cs="Times New Roman"/>
          <w:sz w:val="24"/>
          <w:szCs w:val="24"/>
          <w:lang w:val="lv-LV"/>
        </w:rPr>
        <w:t>šajos gadījumos neracionāla.</w:t>
      </w:r>
    </w:p>
    <w:p w14:paraId="6A677240" w14:textId="77777777" w:rsidR="007D48EE" w:rsidRPr="00321CBD" w:rsidRDefault="007D48EE" w:rsidP="008A1720">
      <w:pPr>
        <w:spacing w:line="360" w:lineRule="auto"/>
        <w:jc w:val="both"/>
        <w:rPr>
          <w:rFonts w:ascii="Times New Roman" w:hAnsi="Times New Roman" w:cs="Times New Roman"/>
          <w:b/>
          <w:sz w:val="24"/>
          <w:szCs w:val="24"/>
          <w:lang w:val="lv-LV"/>
        </w:rPr>
      </w:pPr>
    </w:p>
    <w:p w14:paraId="1D96E3C8" w14:textId="27D8C579" w:rsidR="00C70AFF" w:rsidRPr="00321CBD" w:rsidRDefault="00C70AFF"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Histeroskopija un patoloģisk</w:t>
      </w:r>
      <w:r w:rsidR="00C87C59" w:rsidRPr="00321CBD">
        <w:rPr>
          <w:rFonts w:ascii="Times New Roman" w:hAnsi="Times New Roman" w:cs="Times New Roman"/>
          <w:b/>
          <w:sz w:val="24"/>
          <w:szCs w:val="24"/>
          <w:lang w:val="lv-LV"/>
        </w:rPr>
        <w:t>ā</w:t>
      </w:r>
      <w:r w:rsidRPr="00321CBD">
        <w:rPr>
          <w:rFonts w:ascii="Times New Roman" w:hAnsi="Times New Roman" w:cs="Times New Roman"/>
          <w:b/>
          <w:sz w:val="24"/>
          <w:szCs w:val="24"/>
          <w:lang w:val="lv-LV"/>
        </w:rPr>
        <w:t xml:space="preserve"> dzemdes asiņošana</w:t>
      </w:r>
    </w:p>
    <w:p w14:paraId="40AD4407" w14:textId="7C89EFAC" w:rsidR="008A7447" w:rsidRPr="00321CBD" w:rsidRDefault="005C3485"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tab/>
      </w:r>
      <w:r w:rsidR="00BE7924" w:rsidRPr="00321CBD">
        <w:rPr>
          <w:rFonts w:ascii="Times New Roman" w:hAnsi="Times New Roman" w:cs="Times New Roman"/>
          <w:sz w:val="24"/>
          <w:szCs w:val="24"/>
          <w:lang w:val="lv-LV"/>
        </w:rPr>
        <w:t>P</w:t>
      </w:r>
      <w:r w:rsidR="00BE7924">
        <w:rPr>
          <w:rFonts w:ascii="Times New Roman" w:hAnsi="Times New Roman" w:cs="Times New Roman"/>
          <w:sz w:val="24"/>
          <w:szCs w:val="24"/>
          <w:lang w:val="lv-LV"/>
        </w:rPr>
        <w:t>ašreiz</w:t>
      </w:r>
      <w:r w:rsidR="00BE7924" w:rsidRPr="00321CBD">
        <w:rPr>
          <w:rFonts w:ascii="Times New Roman" w:hAnsi="Times New Roman" w:cs="Times New Roman"/>
          <w:sz w:val="24"/>
          <w:szCs w:val="24"/>
          <w:lang w:val="lv-LV"/>
        </w:rPr>
        <w:t xml:space="preserve"> </w:t>
      </w:r>
      <w:r w:rsidR="006C1E6D" w:rsidRPr="00321CBD">
        <w:rPr>
          <w:rFonts w:ascii="Times New Roman" w:hAnsi="Times New Roman" w:cs="Times New Roman"/>
          <w:sz w:val="24"/>
          <w:szCs w:val="24"/>
          <w:lang w:val="lv-LV"/>
        </w:rPr>
        <w:t xml:space="preserve">histeroskopiju var uzskatīt par </w:t>
      </w:r>
      <w:r w:rsidR="00C87C59" w:rsidRPr="00321CBD">
        <w:rPr>
          <w:rFonts w:ascii="Times New Roman" w:hAnsi="Times New Roman" w:cs="Times New Roman"/>
          <w:sz w:val="24"/>
          <w:szCs w:val="24"/>
          <w:lang w:val="lv-LV"/>
        </w:rPr>
        <w:t xml:space="preserve">diagnostisko </w:t>
      </w:r>
      <w:r w:rsidR="006C1E6D" w:rsidRPr="00321CBD">
        <w:rPr>
          <w:rFonts w:ascii="Times New Roman" w:hAnsi="Times New Roman" w:cs="Times New Roman"/>
          <w:sz w:val="24"/>
          <w:szCs w:val="24"/>
          <w:lang w:val="lv-LV"/>
        </w:rPr>
        <w:t>„zelta” standartu patoloģisk</w:t>
      </w:r>
      <w:r w:rsidR="00C87C59" w:rsidRPr="00321CBD">
        <w:rPr>
          <w:rFonts w:ascii="Times New Roman" w:hAnsi="Times New Roman" w:cs="Times New Roman"/>
          <w:sz w:val="24"/>
          <w:szCs w:val="24"/>
          <w:lang w:val="lv-LV"/>
        </w:rPr>
        <w:t>ā</w:t>
      </w:r>
      <w:r w:rsidR="006C1E6D" w:rsidRPr="00321CBD">
        <w:rPr>
          <w:rFonts w:ascii="Times New Roman" w:hAnsi="Times New Roman" w:cs="Times New Roman"/>
          <w:sz w:val="24"/>
          <w:szCs w:val="24"/>
          <w:lang w:val="lv-LV"/>
        </w:rPr>
        <w:t>s dzemdes asiņošanas</w:t>
      </w:r>
      <w:r w:rsidR="00BE7924">
        <w:rPr>
          <w:rFonts w:ascii="Times New Roman" w:hAnsi="Times New Roman" w:cs="Times New Roman"/>
          <w:sz w:val="24"/>
          <w:szCs w:val="24"/>
          <w:lang w:val="lv-LV"/>
        </w:rPr>
        <w:t xml:space="preserve"> </w:t>
      </w:r>
      <w:r w:rsidR="00D342CE">
        <w:rPr>
          <w:rFonts w:ascii="Times New Roman" w:hAnsi="Times New Roman" w:cs="Times New Roman"/>
          <w:sz w:val="24"/>
          <w:szCs w:val="24"/>
          <w:lang w:val="lv-LV"/>
        </w:rPr>
        <w:t xml:space="preserve">izmeklēšanas </w:t>
      </w:r>
      <w:r w:rsidR="00BE7924">
        <w:rPr>
          <w:rFonts w:ascii="Times New Roman" w:hAnsi="Times New Roman" w:cs="Times New Roman"/>
          <w:sz w:val="24"/>
          <w:szCs w:val="24"/>
          <w:lang w:val="lv-LV"/>
        </w:rPr>
        <w:t>kontekstā</w:t>
      </w:r>
      <w:r w:rsidR="006C1E6D" w:rsidRPr="00321CBD">
        <w:rPr>
          <w:rFonts w:ascii="Times New Roman" w:hAnsi="Times New Roman" w:cs="Times New Roman"/>
          <w:sz w:val="24"/>
          <w:szCs w:val="24"/>
          <w:lang w:val="lv-LV"/>
        </w:rPr>
        <w:t>.</w:t>
      </w:r>
      <w:r w:rsidR="00B7380F" w:rsidRPr="00321CBD">
        <w:rPr>
          <w:rFonts w:ascii="Times New Roman" w:hAnsi="Times New Roman" w:cs="Times New Roman"/>
          <w:sz w:val="24"/>
          <w:szCs w:val="24"/>
          <w:lang w:val="lv-LV"/>
        </w:rPr>
        <w:t xml:space="preserve"> </w:t>
      </w:r>
      <w:r w:rsidR="00C87C59" w:rsidRPr="00321CBD">
        <w:rPr>
          <w:rFonts w:ascii="Times New Roman" w:hAnsi="Times New Roman" w:cs="Times New Roman"/>
          <w:sz w:val="24"/>
          <w:szCs w:val="24"/>
          <w:lang w:val="lv-LV"/>
        </w:rPr>
        <w:t>A</w:t>
      </w:r>
      <w:r w:rsidR="00B7380F" w:rsidRPr="00321CBD">
        <w:rPr>
          <w:rFonts w:ascii="Times New Roman" w:hAnsi="Times New Roman" w:cs="Times New Roman"/>
          <w:sz w:val="24"/>
          <w:szCs w:val="24"/>
          <w:lang w:val="lv-LV"/>
        </w:rPr>
        <w:t>r šo metodi var ne tikai diagnosticēt</w:t>
      </w:r>
      <w:r w:rsidR="00C87C59" w:rsidRPr="00321CBD">
        <w:rPr>
          <w:rFonts w:ascii="Times New Roman" w:hAnsi="Times New Roman" w:cs="Times New Roman"/>
          <w:sz w:val="24"/>
          <w:szCs w:val="24"/>
          <w:lang w:val="lv-LV"/>
        </w:rPr>
        <w:t>,</w:t>
      </w:r>
      <w:r w:rsidR="00B7380F" w:rsidRPr="00321CBD">
        <w:rPr>
          <w:rFonts w:ascii="Times New Roman" w:hAnsi="Times New Roman" w:cs="Times New Roman"/>
          <w:sz w:val="24"/>
          <w:szCs w:val="24"/>
          <w:lang w:val="lv-LV"/>
        </w:rPr>
        <w:t xml:space="preserve"> bet arī ārstēt asiņošanas iemeslu. Arī pētījumos tiek </w:t>
      </w:r>
      <w:r w:rsidR="00C87C59" w:rsidRPr="00321CBD">
        <w:rPr>
          <w:rFonts w:ascii="Times New Roman" w:hAnsi="Times New Roman" w:cs="Times New Roman"/>
          <w:sz w:val="24"/>
          <w:szCs w:val="24"/>
          <w:lang w:val="lv-LV"/>
        </w:rPr>
        <w:t>demonstrēts</w:t>
      </w:r>
      <w:r w:rsidR="00B7380F" w:rsidRPr="00321CBD">
        <w:rPr>
          <w:rFonts w:ascii="Times New Roman" w:hAnsi="Times New Roman" w:cs="Times New Roman"/>
          <w:sz w:val="24"/>
          <w:szCs w:val="24"/>
          <w:lang w:val="lv-LV"/>
        </w:rPr>
        <w:t>, ka histeroskopijai piemīt vadoša loma patoloģisk</w:t>
      </w:r>
      <w:r w:rsidR="00C87C59" w:rsidRPr="00321CBD">
        <w:rPr>
          <w:rFonts w:ascii="Times New Roman" w:hAnsi="Times New Roman" w:cs="Times New Roman"/>
          <w:sz w:val="24"/>
          <w:szCs w:val="24"/>
          <w:lang w:val="lv-LV"/>
        </w:rPr>
        <w:t>ā</w:t>
      </w:r>
      <w:r w:rsidR="00B7380F" w:rsidRPr="00321CBD">
        <w:rPr>
          <w:rFonts w:ascii="Times New Roman" w:hAnsi="Times New Roman" w:cs="Times New Roman"/>
          <w:sz w:val="24"/>
          <w:szCs w:val="24"/>
          <w:lang w:val="lv-LV"/>
        </w:rPr>
        <w:t xml:space="preserve">s dzemdes asiņošanas diagnostikā. </w:t>
      </w:r>
      <w:r w:rsidR="000D69FE" w:rsidRPr="00321CBD">
        <w:rPr>
          <w:rFonts w:ascii="Times New Roman" w:hAnsi="Times New Roman" w:cs="Times New Roman"/>
          <w:sz w:val="24"/>
          <w:szCs w:val="24"/>
          <w:lang w:val="lv-LV"/>
        </w:rPr>
        <w:t xml:space="preserve">Tā </w:t>
      </w:r>
      <w:r w:rsidR="00C87C59" w:rsidRPr="00321CBD">
        <w:rPr>
          <w:rFonts w:ascii="Times New Roman" w:hAnsi="Times New Roman" w:cs="Times New Roman"/>
          <w:sz w:val="24"/>
          <w:szCs w:val="24"/>
          <w:lang w:val="lv-LV"/>
        </w:rPr>
        <w:t>Lielbritānijas</w:t>
      </w:r>
      <w:r w:rsidR="00CB24BB" w:rsidRPr="00321CBD">
        <w:rPr>
          <w:rFonts w:ascii="Times New Roman" w:hAnsi="Times New Roman" w:cs="Times New Roman"/>
          <w:sz w:val="24"/>
          <w:szCs w:val="24"/>
          <w:lang w:val="lv-LV"/>
        </w:rPr>
        <w:t xml:space="preserve"> 2001. gad</w:t>
      </w:r>
      <w:r w:rsidR="000D69FE" w:rsidRPr="00321CBD">
        <w:rPr>
          <w:rFonts w:ascii="Times New Roman" w:hAnsi="Times New Roman" w:cs="Times New Roman"/>
          <w:sz w:val="24"/>
          <w:szCs w:val="24"/>
          <w:lang w:val="lv-LV"/>
        </w:rPr>
        <w:t>a</w:t>
      </w:r>
      <w:r w:rsidR="00CB24BB" w:rsidRPr="00321CBD">
        <w:rPr>
          <w:rFonts w:ascii="Times New Roman" w:hAnsi="Times New Roman" w:cs="Times New Roman"/>
          <w:sz w:val="24"/>
          <w:szCs w:val="24"/>
          <w:lang w:val="lv-LV"/>
        </w:rPr>
        <w:t xml:space="preserve"> pētījumā, kas publicēts </w:t>
      </w:r>
      <w:r w:rsidR="00CB24BB" w:rsidRPr="00321CBD">
        <w:rPr>
          <w:rFonts w:ascii="Times New Roman" w:hAnsi="Times New Roman" w:cs="Times New Roman"/>
          <w:i/>
          <w:sz w:val="24"/>
          <w:szCs w:val="24"/>
          <w:lang w:val="lv-LV"/>
        </w:rPr>
        <w:t>Journal of obstetrics and gynecology</w:t>
      </w:r>
      <w:r w:rsidR="00CB24BB" w:rsidRPr="00321CBD">
        <w:rPr>
          <w:rFonts w:ascii="Times New Roman" w:hAnsi="Times New Roman" w:cs="Times New Roman"/>
          <w:sz w:val="24"/>
          <w:szCs w:val="24"/>
          <w:lang w:val="lv-LV"/>
        </w:rPr>
        <w:t>, patoloģisk</w:t>
      </w:r>
      <w:r w:rsidR="00C87C59" w:rsidRPr="00321CBD">
        <w:rPr>
          <w:rFonts w:ascii="Times New Roman" w:hAnsi="Times New Roman" w:cs="Times New Roman"/>
          <w:sz w:val="24"/>
          <w:szCs w:val="24"/>
          <w:lang w:val="lv-LV"/>
        </w:rPr>
        <w:t>ā</w:t>
      </w:r>
      <w:r w:rsidR="00CB24BB" w:rsidRPr="00321CBD">
        <w:rPr>
          <w:rFonts w:ascii="Times New Roman" w:hAnsi="Times New Roman" w:cs="Times New Roman"/>
          <w:sz w:val="24"/>
          <w:szCs w:val="24"/>
          <w:lang w:val="lv-LV"/>
        </w:rPr>
        <w:t xml:space="preserve"> dzemdes asiņošana </w:t>
      </w:r>
      <w:r w:rsidR="00C87C59" w:rsidRPr="00321CBD">
        <w:rPr>
          <w:rFonts w:ascii="Times New Roman" w:hAnsi="Times New Roman" w:cs="Times New Roman"/>
          <w:sz w:val="24"/>
          <w:szCs w:val="24"/>
          <w:lang w:val="lv-LV"/>
        </w:rPr>
        <w:t>sastādīja</w:t>
      </w:r>
      <w:r w:rsidR="00CB24BB" w:rsidRPr="00321CBD">
        <w:rPr>
          <w:rFonts w:ascii="Times New Roman" w:hAnsi="Times New Roman" w:cs="Times New Roman"/>
          <w:sz w:val="24"/>
          <w:szCs w:val="24"/>
          <w:lang w:val="lv-LV"/>
        </w:rPr>
        <w:t xml:space="preserve"> 98% no indikācijām, kuru dēļ tika veikta his</w:t>
      </w:r>
      <w:r w:rsidR="00E43ED3">
        <w:rPr>
          <w:rFonts w:ascii="Times New Roman" w:hAnsi="Times New Roman" w:cs="Times New Roman"/>
          <w:sz w:val="24"/>
          <w:szCs w:val="24"/>
          <w:lang w:val="lv-LV"/>
        </w:rPr>
        <w:t>teroskopija.</w:t>
      </w:r>
      <w:r w:rsidR="00E43ED3" w:rsidRPr="00E43ED3">
        <w:rPr>
          <w:rFonts w:ascii="Times New Roman" w:hAnsi="Times New Roman" w:cs="Times New Roman"/>
          <w:sz w:val="24"/>
          <w:szCs w:val="24"/>
          <w:vertAlign w:val="superscript"/>
          <w:lang w:val="lv-LV"/>
        </w:rPr>
        <w:t>10</w:t>
      </w:r>
      <w:r w:rsidR="00E43ED3">
        <w:rPr>
          <w:rFonts w:ascii="Times New Roman" w:hAnsi="Times New Roman" w:cs="Times New Roman"/>
          <w:sz w:val="24"/>
          <w:szCs w:val="24"/>
          <w:lang w:val="lv-LV"/>
        </w:rPr>
        <w:t xml:space="preserve"> </w:t>
      </w:r>
      <w:r w:rsidR="00BE7924">
        <w:rPr>
          <w:rFonts w:ascii="Times New Roman" w:hAnsi="Times New Roman" w:cs="Times New Roman"/>
          <w:sz w:val="24"/>
          <w:szCs w:val="24"/>
          <w:lang w:val="lv-LV"/>
        </w:rPr>
        <w:t>H</w:t>
      </w:r>
      <w:r w:rsidR="00BE7924" w:rsidRPr="00321CBD">
        <w:rPr>
          <w:rFonts w:ascii="Times New Roman" w:hAnsi="Times New Roman" w:cs="Times New Roman"/>
          <w:sz w:val="24"/>
          <w:szCs w:val="24"/>
          <w:lang w:val="lv-LV"/>
        </w:rPr>
        <w:t>isteroskopijai</w:t>
      </w:r>
      <w:r w:rsidR="00BE7924">
        <w:rPr>
          <w:rFonts w:ascii="Times New Roman" w:hAnsi="Times New Roman" w:cs="Times New Roman"/>
          <w:sz w:val="24"/>
          <w:szCs w:val="24"/>
          <w:lang w:val="lv-LV"/>
        </w:rPr>
        <w:t xml:space="preserve"> ir liela d</w:t>
      </w:r>
      <w:r w:rsidR="00CB24BB" w:rsidRPr="00321CBD">
        <w:rPr>
          <w:rFonts w:ascii="Times New Roman" w:hAnsi="Times New Roman" w:cs="Times New Roman"/>
          <w:sz w:val="24"/>
          <w:szCs w:val="24"/>
          <w:lang w:val="lv-LV"/>
        </w:rPr>
        <w:t>iagnostiskā vērtība</w:t>
      </w:r>
      <w:r w:rsidR="00BE7924">
        <w:rPr>
          <w:rFonts w:ascii="Times New Roman" w:hAnsi="Times New Roman" w:cs="Times New Roman"/>
          <w:sz w:val="24"/>
          <w:szCs w:val="24"/>
          <w:lang w:val="lv-LV"/>
        </w:rPr>
        <w:t xml:space="preserve">. </w:t>
      </w:r>
      <w:r w:rsidR="000D69FE" w:rsidRPr="00321CBD">
        <w:rPr>
          <w:rFonts w:ascii="Times New Roman" w:hAnsi="Times New Roman" w:cs="Times New Roman"/>
          <w:sz w:val="24"/>
          <w:szCs w:val="24"/>
          <w:lang w:val="lv-LV"/>
        </w:rPr>
        <w:t>2004.gada pētījumā ar histeroskopijas metodi patoloģija tika atrasta gandrīz 3 reizes biežāk</w:t>
      </w:r>
      <w:r w:rsidR="00C87C59" w:rsidRPr="00321CBD">
        <w:rPr>
          <w:rFonts w:ascii="Times New Roman" w:hAnsi="Times New Roman" w:cs="Times New Roman"/>
          <w:sz w:val="24"/>
          <w:szCs w:val="24"/>
          <w:lang w:val="lv-LV"/>
        </w:rPr>
        <w:t>,</w:t>
      </w:r>
      <w:r w:rsidR="000D69FE" w:rsidRPr="00321CBD">
        <w:rPr>
          <w:rFonts w:ascii="Times New Roman" w:hAnsi="Times New Roman" w:cs="Times New Roman"/>
          <w:sz w:val="24"/>
          <w:szCs w:val="24"/>
          <w:lang w:val="lv-LV"/>
        </w:rPr>
        <w:t xml:space="preserve"> salīdzinot ar klasisko dzemdes dobuma kiretāžu, </w:t>
      </w:r>
      <w:r w:rsidR="0018215F" w:rsidRPr="00321CBD">
        <w:rPr>
          <w:rFonts w:ascii="Times New Roman" w:hAnsi="Times New Roman" w:cs="Times New Roman"/>
          <w:sz w:val="24"/>
          <w:szCs w:val="24"/>
          <w:lang w:val="lv-LV"/>
        </w:rPr>
        <w:t xml:space="preserve">attiecīgi </w:t>
      </w:r>
      <w:r w:rsidR="00E43ED3">
        <w:rPr>
          <w:rFonts w:ascii="Times New Roman" w:hAnsi="Times New Roman" w:cs="Times New Roman"/>
          <w:sz w:val="24"/>
          <w:szCs w:val="24"/>
          <w:lang w:val="lv-LV"/>
        </w:rPr>
        <w:t>66% un 26%.</w:t>
      </w:r>
      <w:r w:rsidR="00E43ED3" w:rsidRPr="00E43ED3">
        <w:rPr>
          <w:rFonts w:ascii="Times New Roman" w:hAnsi="Times New Roman" w:cs="Times New Roman"/>
          <w:sz w:val="24"/>
          <w:szCs w:val="24"/>
          <w:vertAlign w:val="superscript"/>
          <w:lang w:val="lv-LV"/>
        </w:rPr>
        <w:t>2</w:t>
      </w:r>
      <w:r w:rsidR="00E43ED3">
        <w:rPr>
          <w:rFonts w:ascii="Times New Roman" w:hAnsi="Times New Roman" w:cs="Times New Roman"/>
          <w:sz w:val="24"/>
          <w:szCs w:val="24"/>
          <w:lang w:val="lv-LV"/>
        </w:rPr>
        <w:t xml:space="preserve"> </w:t>
      </w:r>
      <w:r w:rsidR="000D69FE" w:rsidRPr="00321CBD">
        <w:rPr>
          <w:rFonts w:ascii="Times New Roman" w:hAnsi="Times New Roman" w:cs="Times New Roman"/>
          <w:sz w:val="24"/>
          <w:szCs w:val="24"/>
          <w:lang w:val="lv-LV"/>
        </w:rPr>
        <w:t xml:space="preserve">Bet </w:t>
      </w:r>
      <w:r w:rsidR="008A7447" w:rsidRPr="00321CBD">
        <w:rPr>
          <w:rFonts w:ascii="Times New Roman" w:hAnsi="Times New Roman" w:cs="Times New Roman"/>
          <w:sz w:val="24"/>
          <w:szCs w:val="24"/>
          <w:lang w:val="lv-LV"/>
        </w:rPr>
        <w:t xml:space="preserve">Serbijas pētījumā histeroskopijas metode nodemonstrēja sensitivitāti no 94% līdz 100% un specifitāti no 98% </w:t>
      </w:r>
      <w:r w:rsidR="0018215F" w:rsidRPr="00321CBD">
        <w:rPr>
          <w:rFonts w:ascii="Times New Roman" w:hAnsi="Times New Roman" w:cs="Times New Roman"/>
          <w:sz w:val="24"/>
          <w:szCs w:val="24"/>
          <w:lang w:val="lv-LV"/>
        </w:rPr>
        <w:t>līdz</w:t>
      </w:r>
      <w:r w:rsidR="008A7447" w:rsidRPr="00321CBD">
        <w:rPr>
          <w:rFonts w:ascii="Times New Roman" w:hAnsi="Times New Roman" w:cs="Times New Roman"/>
          <w:sz w:val="24"/>
          <w:szCs w:val="24"/>
          <w:lang w:val="lv-LV"/>
        </w:rPr>
        <w:t xml:space="preserve"> 100% </w:t>
      </w:r>
      <w:r w:rsidR="00D65D88" w:rsidRPr="00321CBD">
        <w:rPr>
          <w:rFonts w:ascii="Times New Roman" w:hAnsi="Times New Roman" w:cs="Times New Roman"/>
          <w:sz w:val="24"/>
          <w:szCs w:val="24"/>
          <w:lang w:val="lv-LV"/>
        </w:rPr>
        <w:t xml:space="preserve">pie </w:t>
      </w:r>
      <w:r w:rsidR="008A7447" w:rsidRPr="00321CBD">
        <w:rPr>
          <w:rFonts w:ascii="Times New Roman" w:hAnsi="Times New Roman" w:cs="Times New Roman"/>
          <w:sz w:val="24"/>
          <w:szCs w:val="24"/>
          <w:lang w:val="lv-LV"/>
        </w:rPr>
        <w:t>galven</w:t>
      </w:r>
      <w:r w:rsidR="00D65D88" w:rsidRPr="00321CBD">
        <w:rPr>
          <w:rFonts w:ascii="Times New Roman" w:hAnsi="Times New Roman" w:cs="Times New Roman"/>
          <w:sz w:val="24"/>
          <w:szCs w:val="24"/>
          <w:lang w:val="lv-LV"/>
        </w:rPr>
        <w:t>aj</w:t>
      </w:r>
      <w:r w:rsidR="008A7447" w:rsidRPr="00321CBD">
        <w:rPr>
          <w:rFonts w:ascii="Times New Roman" w:hAnsi="Times New Roman" w:cs="Times New Roman"/>
          <w:sz w:val="24"/>
          <w:szCs w:val="24"/>
          <w:lang w:val="lv-LV"/>
        </w:rPr>
        <w:t xml:space="preserve">ām dzemdes dobuma patoloģijām – </w:t>
      </w:r>
      <w:r w:rsidR="00D65D88" w:rsidRPr="00321CBD">
        <w:rPr>
          <w:rFonts w:ascii="Times New Roman" w:hAnsi="Times New Roman" w:cs="Times New Roman"/>
          <w:sz w:val="24"/>
          <w:szCs w:val="24"/>
          <w:lang w:val="lv-LV"/>
        </w:rPr>
        <w:t>polipi</w:t>
      </w:r>
      <w:r w:rsidR="005404AE" w:rsidRPr="00321CBD">
        <w:rPr>
          <w:rFonts w:ascii="Times New Roman" w:hAnsi="Times New Roman" w:cs="Times New Roman"/>
          <w:sz w:val="24"/>
          <w:szCs w:val="24"/>
          <w:lang w:val="lv-LV"/>
        </w:rPr>
        <w:t>em</w:t>
      </w:r>
      <w:r w:rsidR="008A7447" w:rsidRPr="00321CBD">
        <w:rPr>
          <w:rFonts w:ascii="Times New Roman" w:hAnsi="Times New Roman" w:cs="Times New Roman"/>
          <w:sz w:val="24"/>
          <w:szCs w:val="24"/>
          <w:lang w:val="lv-LV"/>
        </w:rPr>
        <w:t>, miom</w:t>
      </w:r>
      <w:r w:rsidR="005404AE" w:rsidRPr="00321CBD">
        <w:rPr>
          <w:rFonts w:ascii="Times New Roman" w:hAnsi="Times New Roman" w:cs="Times New Roman"/>
          <w:sz w:val="24"/>
          <w:szCs w:val="24"/>
          <w:lang w:val="lv-LV"/>
        </w:rPr>
        <w:t>ām</w:t>
      </w:r>
      <w:r w:rsidR="008A7447" w:rsidRPr="00321CBD">
        <w:rPr>
          <w:rFonts w:ascii="Times New Roman" w:hAnsi="Times New Roman" w:cs="Times New Roman"/>
          <w:sz w:val="24"/>
          <w:szCs w:val="24"/>
          <w:lang w:val="lv-LV"/>
        </w:rPr>
        <w:t xml:space="preserve">, </w:t>
      </w:r>
      <w:r w:rsidR="00D65D88" w:rsidRPr="00321CBD">
        <w:rPr>
          <w:rFonts w:ascii="Times New Roman" w:hAnsi="Times New Roman" w:cs="Times New Roman"/>
          <w:sz w:val="24"/>
          <w:szCs w:val="24"/>
          <w:lang w:val="lv-LV"/>
        </w:rPr>
        <w:t xml:space="preserve">endometrija </w:t>
      </w:r>
      <w:r w:rsidR="008A7447" w:rsidRPr="00321CBD">
        <w:rPr>
          <w:rFonts w:ascii="Times New Roman" w:hAnsi="Times New Roman" w:cs="Times New Roman"/>
          <w:sz w:val="24"/>
          <w:szCs w:val="24"/>
          <w:lang w:val="lv-LV"/>
        </w:rPr>
        <w:t>hiperplāzij</w:t>
      </w:r>
      <w:r w:rsidR="005404AE" w:rsidRPr="00321CBD">
        <w:rPr>
          <w:rFonts w:ascii="Times New Roman" w:hAnsi="Times New Roman" w:cs="Times New Roman"/>
          <w:sz w:val="24"/>
          <w:szCs w:val="24"/>
          <w:lang w:val="lv-LV"/>
        </w:rPr>
        <w:t>as</w:t>
      </w:r>
      <w:r w:rsidR="008A7447" w:rsidRPr="00321CBD">
        <w:rPr>
          <w:rFonts w:ascii="Times New Roman" w:hAnsi="Times New Roman" w:cs="Times New Roman"/>
          <w:sz w:val="24"/>
          <w:szCs w:val="24"/>
          <w:lang w:val="lv-LV"/>
        </w:rPr>
        <w:t xml:space="preserve"> un atrofija</w:t>
      </w:r>
      <w:r w:rsidR="005404AE" w:rsidRPr="00321CBD">
        <w:rPr>
          <w:rFonts w:ascii="Times New Roman" w:hAnsi="Times New Roman" w:cs="Times New Roman"/>
          <w:sz w:val="24"/>
          <w:szCs w:val="24"/>
          <w:lang w:val="lv-LV"/>
        </w:rPr>
        <w:t>s</w:t>
      </w:r>
      <w:r w:rsidR="008A7447" w:rsidRPr="00321CBD">
        <w:rPr>
          <w:rFonts w:ascii="Times New Roman" w:hAnsi="Times New Roman" w:cs="Times New Roman"/>
          <w:sz w:val="24"/>
          <w:szCs w:val="24"/>
          <w:lang w:val="lv-LV"/>
        </w:rPr>
        <w:t>. Pozitīva un negatīva paredzam</w:t>
      </w:r>
      <w:r w:rsidR="005404AE" w:rsidRPr="00321CBD">
        <w:rPr>
          <w:rFonts w:ascii="Times New Roman" w:hAnsi="Times New Roman" w:cs="Times New Roman"/>
          <w:sz w:val="24"/>
          <w:szCs w:val="24"/>
          <w:lang w:val="lv-LV"/>
        </w:rPr>
        <w:t>ā</w:t>
      </w:r>
      <w:r w:rsidR="008A7447" w:rsidRPr="00321CBD">
        <w:rPr>
          <w:rFonts w:ascii="Times New Roman" w:hAnsi="Times New Roman" w:cs="Times New Roman"/>
          <w:sz w:val="24"/>
          <w:szCs w:val="24"/>
          <w:lang w:val="lv-LV"/>
        </w:rPr>
        <w:t xml:space="preserve"> vērtīb</w:t>
      </w:r>
      <w:r w:rsidR="005404AE" w:rsidRPr="00321CBD">
        <w:rPr>
          <w:rFonts w:ascii="Times New Roman" w:hAnsi="Times New Roman" w:cs="Times New Roman"/>
          <w:sz w:val="24"/>
          <w:szCs w:val="24"/>
          <w:lang w:val="lv-LV"/>
        </w:rPr>
        <w:t>a</w:t>
      </w:r>
      <w:r w:rsidR="008A7447" w:rsidRPr="00321CBD">
        <w:rPr>
          <w:rFonts w:ascii="Times New Roman" w:hAnsi="Times New Roman" w:cs="Times New Roman"/>
          <w:sz w:val="24"/>
          <w:szCs w:val="24"/>
          <w:lang w:val="lv-LV"/>
        </w:rPr>
        <w:t xml:space="preserve"> šajā gadījumā svārstījās no </w:t>
      </w:r>
      <w:r w:rsidR="0018215F" w:rsidRPr="00321CBD">
        <w:rPr>
          <w:rFonts w:ascii="Times New Roman" w:hAnsi="Times New Roman" w:cs="Times New Roman"/>
          <w:sz w:val="24"/>
          <w:szCs w:val="24"/>
          <w:lang w:val="lv-LV"/>
        </w:rPr>
        <w:lastRenderedPageBreak/>
        <w:t xml:space="preserve">attiecīgi </w:t>
      </w:r>
      <w:r w:rsidR="008A7447" w:rsidRPr="00321CBD">
        <w:rPr>
          <w:rFonts w:ascii="Times New Roman" w:hAnsi="Times New Roman" w:cs="Times New Roman"/>
          <w:sz w:val="24"/>
          <w:szCs w:val="24"/>
          <w:lang w:val="lv-LV"/>
        </w:rPr>
        <w:t>80% līdz 100% un 97% līdz 100%.</w:t>
      </w:r>
      <w:r w:rsidR="00E43ED3" w:rsidRPr="00E43ED3">
        <w:rPr>
          <w:rFonts w:ascii="Times New Roman" w:hAnsi="Times New Roman" w:cs="Times New Roman"/>
          <w:sz w:val="24"/>
          <w:szCs w:val="24"/>
          <w:vertAlign w:val="superscript"/>
          <w:lang w:val="lv-LV"/>
        </w:rPr>
        <w:t>1</w:t>
      </w:r>
      <w:r w:rsidR="008A7447" w:rsidRPr="00321CBD">
        <w:rPr>
          <w:rFonts w:ascii="Times New Roman" w:hAnsi="Times New Roman" w:cs="Times New Roman"/>
          <w:sz w:val="24"/>
          <w:szCs w:val="24"/>
          <w:lang w:val="lv-LV"/>
        </w:rPr>
        <w:t xml:space="preserve"> </w:t>
      </w:r>
      <w:r w:rsidR="000D69FE" w:rsidRPr="00321CBD">
        <w:rPr>
          <w:rFonts w:ascii="Times New Roman" w:hAnsi="Times New Roman" w:cs="Times New Roman"/>
          <w:sz w:val="24"/>
          <w:szCs w:val="24"/>
          <w:lang w:val="lv-LV"/>
        </w:rPr>
        <w:t xml:space="preserve">Irānas pētījumā dati bija </w:t>
      </w:r>
      <w:r w:rsidR="005404AE" w:rsidRPr="00321CBD">
        <w:rPr>
          <w:rFonts w:ascii="Times New Roman" w:hAnsi="Times New Roman" w:cs="Times New Roman"/>
          <w:sz w:val="24"/>
          <w:szCs w:val="24"/>
          <w:lang w:val="lv-LV"/>
        </w:rPr>
        <w:t>līdzīgi</w:t>
      </w:r>
      <w:r w:rsidR="00AF386B">
        <w:rPr>
          <w:rFonts w:ascii="Times New Roman" w:hAnsi="Times New Roman" w:cs="Times New Roman"/>
          <w:sz w:val="24"/>
          <w:szCs w:val="24"/>
          <w:lang w:val="lv-LV"/>
        </w:rPr>
        <w:t xml:space="preserve">, ar </w:t>
      </w:r>
      <w:r w:rsidR="000D69FE" w:rsidRPr="00321CBD">
        <w:rPr>
          <w:rFonts w:ascii="Times New Roman" w:hAnsi="Times New Roman" w:cs="Times New Roman"/>
          <w:sz w:val="24"/>
          <w:szCs w:val="24"/>
          <w:lang w:val="lv-LV"/>
        </w:rPr>
        <w:t xml:space="preserve">nedaudz mazāku specifitāti endometrija hiperplāzijas </w:t>
      </w:r>
      <w:r w:rsidR="005404AE" w:rsidRPr="00321CBD">
        <w:rPr>
          <w:rFonts w:ascii="Times New Roman" w:hAnsi="Times New Roman" w:cs="Times New Roman"/>
          <w:sz w:val="24"/>
          <w:szCs w:val="24"/>
          <w:lang w:val="lv-LV"/>
        </w:rPr>
        <w:t xml:space="preserve">diagnostisko </w:t>
      </w:r>
      <w:r w:rsidR="00E43ED3">
        <w:rPr>
          <w:rFonts w:ascii="Times New Roman" w:hAnsi="Times New Roman" w:cs="Times New Roman"/>
          <w:sz w:val="24"/>
          <w:szCs w:val="24"/>
          <w:lang w:val="lv-LV"/>
        </w:rPr>
        <w:t>grūtību dēļ.</w:t>
      </w:r>
      <w:r w:rsidR="00E43ED3" w:rsidRPr="00E43ED3">
        <w:rPr>
          <w:rFonts w:ascii="Times New Roman" w:hAnsi="Times New Roman" w:cs="Times New Roman"/>
          <w:sz w:val="24"/>
          <w:szCs w:val="24"/>
          <w:vertAlign w:val="superscript"/>
          <w:lang w:val="lv-LV"/>
        </w:rPr>
        <w:t>9</w:t>
      </w:r>
      <w:r w:rsidR="00E43ED3">
        <w:rPr>
          <w:rFonts w:ascii="Times New Roman" w:hAnsi="Times New Roman" w:cs="Times New Roman"/>
          <w:sz w:val="24"/>
          <w:szCs w:val="24"/>
          <w:lang w:val="lv-LV"/>
        </w:rPr>
        <w:t xml:space="preserve"> </w:t>
      </w:r>
      <w:r w:rsidR="004D1C4B" w:rsidRPr="00321CBD">
        <w:rPr>
          <w:rFonts w:ascii="Times New Roman" w:hAnsi="Times New Roman" w:cs="Times New Roman"/>
          <w:sz w:val="24"/>
          <w:szCs w:val="24"/>
          <w:lang w:val="lv-LV"/>
        </w:rPr>
        <w:t xml:space="preserve">2009.gada publicētā pētījumā </w:t>
      </w:r>
      <w:r w:rsidR="005D1C03" w:rsidRPr="00321CBD">
        <w:rPr>
          <w:rFonts w:ascii="Times New Roman" w:hAnsi="Times New Roman" w:cs="Times New Roman"/>
          <w:sz w:val="24"/>
          <w:szCs w:val="24"/>
          <w:lang w:val="lv-LV"/>
        </w:rPr>
        <w:t xml:space="preserve">diagnostiskā vērtība </w:t>
      </w:r>
      <w:r w:rsidR="004D1C4B" w:rsidRPr="00321CBD">
        <w:rPr>
          <w:rFonts w:ascii="Times New Roman" w:hAnsi="Times New Roman" w:cs="Times New Roman"/>
          <w:sz w:val="24"/>
          <w:szCs w:val="24"/>
          <w:lang w:val="lv-LV"/>
        </w:rPr>
        <w:t>histeroskopija</w:t>
      </w:r>
      <w:r w:rsidR="005D1C03" w:rsidRPr="00321CBD">
        <w:rPr>
          <w:rFonts w:ascii="Times New Roman" w:hAnsi="Times New Roman" w:cs="Times New Roman"/>
          <w:sz w:val="24"/>
          <w:szCs w:val="24"/>
          <w:lang w:val="lv-LV"/>
        </w:rPr>
        <w:t>i</w:t>
      </w:r>
      <w:r w:rsidR="004D1C4B" w:rsidRPr="00321CBD">
        <w:rPr>
          <w:rFonts w:ascii="Times New Roman" w:hAnsi="Times New Roman" w:cs="Times New Roman"/>
          <w:sz w:val="24"/>
          <w:szCs w:val="24"/>
          <w:lang w:val="lv-LV"/>
        </w:rPr>
        <w:t xml:space="preserve"> salīdzinot ar histopatoloģisko atbildi</w:t>
      </w:r>
      <w:r w:rsidR="00AF386B">
        <w:rPr>
          <w:rFonts w:ascii="Times New Roman" w:hAnsi="Times New Roman" w:cs="Times New Roman"/>
          <w:sz w:val="24"/>
          <w:szCs w:val="24"/>
          <w:lang w:val="lv-LV"/>
        </w:rPr>
        <w:t xml:space="preserve"> </w:t>
      </w:r>
      <w:r w:rsidR="004D1C4B" w:rsidRPr="00321CBD">
        <w:rPr>
          <w:rFonts w:ascii="Times New Roman" w:hAnsi="Times New Roman" w:cs="Times New Roman"/>
          <w:sz w:val="24"/>
          <w:szCs w:val="24"/>
          <w:lang w:val="lv-LV"/>
        </w:rPr>
        <w:t>parādīj</w:t>
      </w:r>
      <w:r w:rsidR="009E6816" w:rsidRPr="00321CBD">
        <w:rPr>
          <w:rFonts w:ascii="Times New Roman" w:hAnsi="Times New Roman" w:cs="Times New Roman"/>
          <w:sz w:val="24"/>
          <w:szCs w:val="24"/>
          <w:lang w:val="lv-LV"/>
        </w:rPr>
        <w:t xml:space="preserve">a ļoti augstu </w:t>
      </w:r>
      <w:r w:rsidR="005D1C03" w:rsidRPr="00321CBD">
        <w:rPr>
          <w:rFonts w:ascii="Times New Roman" w:hAnsi="Times New Roman" w:cs="Times New Roman"/>
          <w:sz w:val="24"/>
          <w:szCs w:val="24"/>
          <w:lang w:val="lv-LV"/>
        </w:rPr>
        <w:t>efektivitāti</w:t>
      </w:r>
      <w:r w:rsidR="009E6816" w:rsidRPr="00321CBD">
        <w:rPr>
          <w:rFonts w:ascii="Times New Roman" w:hAnsi="Times New Roman" w:cs="Times New Roman"/>
          <w:sz w:val="24"/>
          <w:szCs w:val="24"/>
          <w:lang w:val="lv-LV"/>
        </w:rPr>
        <w:t>. Tā, piemēram</w:t>
      </w:r>
      <w:r w:rsidR="005D1C03" w:rsidRPr="00321CBD">
        <w:rPr>
          <w:rFonts w:ascii="Times New Roman" w:hAnsi="Times New Roman" w:cs="Times New Roman"/>
          <w:sz w:val="24"/>
          <w:szCs w:val="24"/>
          <w:lang w:val="lv-LV"/>
        </w:rPr>
        <w:t>,</w:t>
      </w:r>
      <w:r w:rsidR="009E6816" w:rsidRPr="00321CBD">
        <w:rPr>
          <w:rFonts w:ascii="Times New Roman" w:hAnsi="Times New Roman" w:cs="Times New Roman"/>
          <w:sz w:val="24"/>
          <w:szCs w:val="24"/>
          <w:lang w:val="lv-LV"/>
        </w:rPr>
        <w:t xml:space="preserve"> sensitivitāte attiecībā uz polipu bija 100%, bet specifitāte 95.78%. </w:t>
      </w:r>
      <w:r w:rsidR="005D1C03" w:rsidRPr="00321CBD">
        <w:rPr>
          <w:rFonts w:ascii="Times New Roman" w:hAnsi="Times New Roman" w:cs="Times New Roman"/>
          <w:sz w:val="24"/>
          <w:szCs w:val="24"/>
          <w:lang w:val="lv-LV"/>
        </w:rPr>
        <w:t>Tajā pa</w:t>
      </w:r>
      <w:r w:rsidR="00AF386B">
        <w:rPr>
          <w:rFonts w:ascii="Times New Roman" w:hAnsi="Times New Roman" w:cs="Times New Roman"/>
          <w:sz w:val="24"/>
          <w:szCs w:val="24"/>
          <w:lang w:val="lv-LV"/>
        </w:rPr>
        <w:t>šā</w:t>
      </w:r>
      <w:r w:rsidR="005D1C03" w:rsidRPr="00321CBD">
        <w:rPr>
          <w:rFonts w:ascii="Times New Roman" w:hAnsi="Times New Roman" w:cs="Times New Roman"/>
          <w:sz w:val="24"/>
          <w:szCs w:val="24"/>
          <w:lang w:val="lv-LV"/>
        </w:rPr>
        <w:t xml:space="preserve"> pētījumā</w:t>
      </w:r>
      <w:r w:rsidR="009E6816" w:rsidRPr="00321CBD">
        <w:rPr>
          <w:rFonts w:ascii="Times New Roman" w:hAnsi="Times New Roman" w:cs="Times New Roman"/>
          <w:sz w:val="24"/>
          <w:szCs w:val="24"/>
          <w:lang w:val="lv-LV"/>
        </w:rPr>
        <w:t xml:space="preserve"> attiecībā uz miomu </w:t>
      </w:r>
      <w:r w:rsidR="005D1C03" w:rsidRPr="00321CBD">
        <w:rPr>
          <w:rFonts w:ascii="Times New Roman" w:hAnsi="Times New Roman" w:cs="Times New Roman"/>
          <w:sz w:val="24"/>
          <w:szCs w:val="24"/>
          <w:lang w:val="lv-LV"/>
        </w:rPr>
        <w:t>s</w:t>
      </w:r>
      <w:r w:rsidR="003237F1" w:rsidRPr="00321CBD">
        <w:rPr>
          <w:rFonts w:ascii="Times New Roman" w:hAnsi="Times New Roman" w:cs="Times New Roman"/>
          <w:sz w:val="24"/>
          <w:szCs w:val="24"/>
          <w:lang w:val="lv-LV"/>
        </w:rPr>
        <w:t>ensitivitāte</w:t>
      </w:r>
      <w:r w:rsidR="005D1C03" w:rsidRPr="00321CBD">
        <w:rPr>
          <w:rFonts w:ascii="Times New Roman" w:hAnsi="Times New Roman" w:cs="Times New Roman"/>
          <w:sz w:val="24"/>
          <w:szCs w:val="24"/>
          <w:lang w:val="lv-LV"/>
        </w:rPr>
        <w:t xml:space="preserve"> bija </w:t>
      </w:r>
      <w:r w:rsidR="009E6816" w:rsidRPr="00321CBD">
        <w:rPr>
          <w:rFonts w:ascii="Times New Roman" w:hAnsi="Times New Roman" w:cs="Times New Roman"/>
          <w:sz w:val="24"/>
          <w:szCs w:val="24"/>
          <w:lang w:val="lv-LV"/>
        </w:rPr>
        <w:t xml:space="preserve">100% un </w:t>
      </w:r>
      <w:r w:rsidR="005D1C03" w:rsidRPr="00321CBD">
        <w:rPr>
          <w:rFonts w:ascii="Times New Roman" w:hAnsi="Times New Roman" w:cs="Times New Roman"/>
          <w:sz w:val="24"/>
          <w:szCs w:val="24"/>
          <w:lang w:val="lv-LV"/>
        </w:rPr>
        <w:t>s</w:t>
      </w:r>
      <w:r w:rsidR="003237F1" w:rsidRPr="00321CBD">
        <w:rPr>
          <w:rFonts w:ascii="Times New Roman" w:hAnsi="Times New Roman" w:cs="Times New Roman"/>
          <w:sz w:val="24"/>
          <w:szCs w:val="24"/>
          <w:lang w:val="lv-LV"/>
        </w:rPr>
        <w:t>pecifitāte</w:t>
      </w:r>
      <w:r w:rsidR="005D1C03" w:rsidRPr="00321CBD">
        <w:rPr>
          <w:rFonts w:ascii="Times New Roman" w:hAnsi="Times New Roman" w:cs="Times New Roman"/>
          <w:sz w:val="24"/>
          <w:szCs w:val="24"/>
          <w:lang w:val="lv-LV"/>
        </w:rPr>
        <w:t xml:space="preserve"> </w:t>
      </w:r>
      <w:r w:rsidR="009E6816" w:rsidRPr="00321CBD">
        <w:rPr>
          <w:rFonts w:ascii="Times New Roman" w:hAnsi="Times New Roman" w:cs="Times New Roman"/>
          <w:sz w:val="24"/>
          <w:szCs w:val="24"/>
          <w:lang w:val="lv-LV"/>
        </w:rPr>
        <w:t>89.89%, bet uz atrofisku endometriju 100% un 96.84%</w:t>
      </w:r>
      <w:r w:rsidR="00E43ED3">
        <w:rPr>
          <w:rFonts w:ascii="Times New Roman" w:hAnsi="Times New Roman" w:cs="Times New Roman"/>
          <w:sz w:val="24"/>
          <w:szCs w:val="24"/>
          <w:lang w:val="lv-LV"/>
        </w:rPr>
        <w:t>.</w:t>
      </w:r>
      <w:r w:rsidR="00E43ED3" w:rsidRPr="00E43ED3">
        <w:rPr>
          <w:rFonts w:ascii="Times New Roman" w:hAnsi="Times New Roman" w:cs="Times New Roman"/>
          <w:sz w:val="24"/>
          <w:szCs w:val="24"/>
          <w:vertAlign w:val="superscript"/>
          <w:lang w:val="lv-LV"/>
        </w:rPr>
        <w:t>14</w:t>
      </w:r>
    </w:p>
    <w:p w14:paraId="52178840" w14:textId="19CA17EB" w:rsidR="00AA433F" w:rsidRPr="00321CBD" w:rsidRDefault="00624D02" w:rsidP="008A1720">
      <w:p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Veicot</w:t>
      </w:r>
      <w:r w:rsidRPr="00321CBD">
        <w:rPr>
          <w:rFonts w:ascii="Times New Roman" w:hAnsi="Times New Roman" w:cs="Times New Roman"/>
          <w:sz w:val="24"/>
          <w:szCs w:val="24"/>
          <w:lang w:val="lv-LV"/>
        </w:rPr>
        <w:t xml:space="preserve"> </w:t>
      </w:r>
      <w:r w:rsidR="00AA433F" w:rsidRPr="00321CBD">
        <w:rPr>
          <w:rFonts w:ascii="Times New Roman" w:hAnsi="Times New Roman" w:cs="Times New Roman"/>
          <w:sz w:val="24"/>
          <w:szCs w:val="24"/>
          <w:lang w:val="lv-LV"/>
        </w:rPr>
        <w:t>literatūras apskatu</w:t>
      </w:r>
      <w:r>
        <w:rPr>
          <w:rFonts w:ascii="Times New Roman" w:hAnsi="Times New Roman" w:cs="Times New Roman"/>
          <w:sz w:val="24"/>
          <w:szCs w:val="24"/>
          <w:lang w:val="lv-LV"/>
        </w:rPr>
        <w:t xml:space="preserve"> tika secināts</w:t>
      </w:r>
      <w:r w:rsidR="00AA433F" w:rsidRPr="00321CBD">
        <w:rPr>
          <w:rFonts w:ascii="Times New Roman" w:hAnsi="Times New Roman" w:cs="Times New Roman"/>
          <w:sz w:val="24"/>
          <w:szCs w:val="24"/>
          <w:lang w:val="lv-LV"/>
        </w:rPr>
        <w:t>, ka patoloģisk</w:t>
      </w:r>
      <w:r w:rsidR="005D1C03" w:rsidRPr="00321CBD">
        <w:rPr>
          <w:rFonts w:ascii="Times New Roman" w:hAnsi="Times New Roman" w:cs="Times New Roman"/>
          <w:sz w:val="24"/>
          <w:szCs w:val="24"/>
          <w:lang w:val="lv-LV"/>
        </w:rPr>
        <w:t>ā</w:t>
      </w:r>
      <w:r w:rsidR="00AA433F" w:rsidRPr="00321CBD">
        <w:rPr>
          <w:rFonts w:ascii="Times New Roman" w:hAnsi="Times New Roman" w:cs="Times New Roman"/>
          <w:sz w:val="24"/>
          <w:szCs w:val="24"/>
          <w:lang w:val="lv-LV"/>
        </w:rPr>
        <w:t xml:space="preserve"> dzemdes asiņošana ir aktuāla problēma pre</w:t>
      </w:r>
      <w:r>
        <w:rPr>
          <w:rFonts w:ascii="Times New Roman" w:hAnsi="Times New Roman" w:cs="Times New Roman"/>
          <w:sz w:val="24"/>
          <w:szCs w:val="24"/>
          <w:lang w:val="lv-LV"/>
        </w:rPr>
        <w:t>menopauzes</w:t>
      </w:r>
      <w:r w:rsidR="00AA433F" w:rsidRPr="00321CBD">
        <w:rPr>
          <w:rFonts w:ascii="Times New Roman" w:hAnsi="Times New Roman" w:cs="Times New Roman"/>
          <w:sz w:val="24"/>
          <w:szCs w:val="24"/>
          <w:lang w:val="lv-LV"/>
        </w:rPr>
        <w:t xml:space="preserve"> un </w:t>
      </w:r>
      <w:r w:rsidRPr="00321CBD">
        <w:rPr>
          <w:rFonts w:ascii="Times New Roman" w:hAnsi="Times New Roman" w:cs="Times New Roman"/>
          <w:sz w:val="24"/>
          <w:szCs w:val="24"/>
          <w:lang w:val="lv-LV"/>
        </w:rPr>
        <w:t>postmenopauz</w:t>
      </w:r>
      <w:r>
        <w:rPr>
          <w:rFonts w:ascii="Times New Roman" w:hAnsi="Times New Roman" w:cs="Times New Roman"/>
          <w:sz w:val="24"/>
          <w:szCs w:val="24"/>
          <w:lang w:val="lv-LV"/>
        </w:rPr>
        <w:t>es</w:t>
      </w:r>
      <w:r w:rsidRPr="00321CBD">
        <w:rPr>
          <w:rFonts w:ascii="Times New Roman" w:hAnsi="Times New Roman" w:cs="Times New Roman"/>
          <w:sz w:val="24"/>
          <w:szCs w:val="24"/>
          <w:lang w:val="lv-LV"/>
        </w:rPr>
        <w:t xml:space="preserve"> </w:t>
      </w:r>
      <w:r w:rsidR="00AA433F" w:rsidRPr="00321CBD">
        <w:rPr>
          <w:rFonts w:ascii="Times New Roman" w:hAnsi="Times New Roman" w:cs="Times New Roman"/>
          <w:sz w:val="24"/>
          <w:szCs w:val="24"/>
          <w:lang w:val="lv-LV"/>
        </w:rPr>
        <w:t xml:space="preserve">vecuma sievietēm ar strukturālu patoloģiju, </w:t>
      </w:r>
      <w:r w:rsidR="00AA433F" w:rsidRPr="00D342CE">
        <w:rPr>
          <w:rFonts w:ascii="Times New Roman" w:hAnsi="Times New Roman" w:cs="Times New Roman"/>
          <w:sz w:val="24"/>
          <w:szCs w:val="24"/>
          <w:lang w:val="lv-LV"/>
        </w:rPr>
        <w:t>k</w:t>
      </w:r>
      <w:r w:rsidR="005D1C03" w:rsidRPr="00D342CE">
        <w:rPr>
          <w:rFonts w:ascii="Times New Roman" w:hAnsi="Times New Roman" w:cs="Times New Roman"/>
          <w:sz w:val="24"/>
          <w:szCs w:val="24"/>
          <w:lang w:val="lv-LV"/>
        </w:rPr>
        <w:t>ā</w:t>
      </w:r>
      <w:r w:rsidR="00D342CE">
        <w:rPr>
          <w:rFonts w:ascii="Times New Roman" w:hAnsi="Times New Roman" w:cs="Times New Roman"/>
          <w:sz w:val="24"/>
          <w:szCs w:val="24"/>
          <w:lang w:val="lv-LV"/>
        </w:rPr>
        <w:t xml:space="preserve"> biežāku iemeslu tai</w:t>
      </w:r>
      <w:r w:rsidR="00AA433F" w:rsidRPr="00D342CE">
        <w:rPr>
          <w:rFonts w:ascii="Times New Roman" w:hAnsi="Times New Roman" w:cs="Times New Roman"/>
          <w:sz w:val="24"/>
          <w:szCs w:val="24"/>
          <w:lang w:val="lv-LV"/>
        </w:rPr>
        <w:t>.</w:t>
      </w:r>
      <w:r w:rsidR="00AA433F" w:rsidRPr="00321CBD">
        <w:rPr>
          <w:rFonts w:ascii="Times New Roman" w:hAnsi="Times New Roman" w:cs="Times New Roman"/>
          <w:sz w:val="24"/>
          <w:szCs w:val="24"/>
          <w:lang w:val="lv-LV"/>
        </w:rPr>
        <w:t xml:space="preserve"> Histeroskopija ir precīza diagnostikas metode intrauterīnai patoloģijai</w:t>
      </w:r>
      <w:r w:rsidR="005D1C03" w:rsidRPr="00321CBD">
        <w:rPr>
          <w:rFonts w:ascii="Times New Roman" w:hAnsi="Times New Roman" w:cs="Times New Roman"/>
          <w:sz w:val="24"/>
          <w:szCs w:val="24"/>
          <w:lang w:val="lv-LV"/>
        </w:rPr>
        <w:t>,</w:t>
      </w:r>
      <w:r w:rsidR="00AA433F" w:rsidRPr="00321CBD">
        <w:rPr>
          <w:rFonts w:ascii="Times New Roman" w:hAnsi="Times New Roman" w:cs="Times New Roman"/>
          <w:sz w:val="24"/>
          <w:szCs w:val="24"/>
          <w:lang w:val="lv-LV"/>
        </w:rPr>
        <w:t xml:space="preserve"> salīdzinot ar parējām, bet</w:t>
      </w:r>
      <w:r w:rsidR="00AB1C7E">
        <w:rPr>
          <w:rFonts w:ascii="Times New Roman" w:hAnsi="Times New Roman" w:cs="Times New Roman"/>
          <w:sz w:val="24"/>
          <w:szCs w:val="24"/>
          <w:lang w:val="lv-LV"/>
        </w:rPr>
        <w:t>,</w:t>
      </w:r>
      <w:r w:rsidR="00AA433F" w:rsidRPr="00321CBD">
        <w:rPr>
          <w:rFonts w:ascii="Times New Roman" w:hAnsi="Times New Roman" w:cs="Times New Roman"/>
          <w:sz w:val="24"/>
          <w:szCs w:val="24"/>
          <w:lang w:val="lv-LV"/>
        </w:rPr>
        <w:t xml:space="preserve"> ņemot vērā arī tās terapijas iespējas, histeroskopija</w:t>
      </w:r>
      <w:r w:rsidR="00DA3820" w:rsidRPr="00321CBD">
        <w:rPr>
          <w:rFonts w:ascii="Times New Roman" w:hAnsi="Times New Roman" w:cs="Times New Roman"/>
          <w:sz w:val="24"/>
          <w:szCs w:val="24"/>
          <w:lang w:val="lv-LV"/>
        </w:rPr>
        <w:t>i</w:t>
      </w:r>
      <w:r w:rsidR="00AA433F" w:rsidRPr="00321CBD">
        <w:rPr>
          <w:rFonts w:ascii="Times New Roman" w:hAnsi="Times New Roman" w:cs="Times New Roman"/>
          <w:sz w:val="24"/>
          <w:szCs w:val="24"/>
          <w:lang w:val="lv-LV"/>
        </w:rPr>
        <w:t xml:space="preserve"> būtu dodama priekšroka patoloģisk</w:t>
      </w:r>
      <w:r w:rsidR="005D1C03" w:rsidRPr="00321CBD">
        <w:rPr>
          <w:rFonts w:ascii="Times New Roman" w:hAnsi="Times New Roman" w:cs="Times New Roman"/>
          <w:sz w:val="24"/>
          <w:szCs w:val="24"/>
          <w:lang w:val="lv-LV"/>
        </w:rPr>
        <w:t>ā</w:t>
      </w:r>
      <w:r w:rsidR="00AA433F" w:rsidRPr="00321CBD">
        <w:rPr>
          <w:rFonts w:ascii="Times New Roman" w:hAnsi="Times New Roman" w:cs="Times New Roman"/>
          <w:sz w:val="24"/>
          <w:szCs w:val="24"/>
          <w:lang w:val="lv-LV"/>
        </w:rPr>
        <w:t xml:space="preserve">s </w:t>
      </w:r>
      <w:r w:rsidR="005D1C03" w:rsidRPr="00321CBD">
        <w:rPr>
          <w:rFonts w:ascii="Times New Roman" w:hAnsi="Times New Roman" w:cs="Times New Roman"/>
          <w:sz w:val="24"/>
          <w:szCs w:val="24"/>
          <w:lang w:val="lv-LV"/>
        </w:rPr>
        <w:t>dzemdes</w:t>
      </w:r>
      <w:r w:rsidR="00AA433F" w:rsidRPr="00321CBD">
        <w:rPr>
          <w:rFonts w:ascii="Times New Roman" w:hAnsi="Times New Roman" w:cs="Times New Roman"/>
          <w:sz w:val="24"/>
          <w:szCs w:val="24"/>
          <w:lang w:val="lv-LV"/>
        </w:rPr>
        <w:t xml:space="preserve"> asiņošanas </w:t>
      </w:r>
      <w:r w:rsidR="005D1C03" w:rsidRPr="00321CBD">
        <w:rPr>
          <w:rFonts w:ascii="Times New Roman" w:hAnsi="Times New Roman" w:cs="Times New Roman"/>
          <w:sz w:val="24"/>
          <w:szCs w:val="24"/>
          <w:lang w:val="lv-LV"/>
        </w:rPr>
        <w:t>izmeklēšanā</w:t>
      </w:r>
      <w:r w:rsidR="00AA433F" w:rsidRPr="00321CBD">
        <w:rPr>
          <w:rFonts w:ascii="Times New Roman" w:hAnsi="Times New Roman" w:cs="Times New Roman"/>
          <w:sz w:val="24"/>
          <w:szCs w:val="24"/>
          <w:lang w:val="lv-LV"/>
        </w:rPr>
        <w:t xml:space="preserve"> un </w:t>
      </w:r>
      <w:r w:rsidR="005D1C03" w:rsidRPr="00321CBD">
        <w:rPr>
          <w:rFonts w:ascii="Times New Roman" w:hAnsi="Times New Roman" w:cs="Times New Roman"/>
          <w:sz w:val="24"/>
          <w:szCs w:val="24"/>
          <w:lang w:val="lv-LV"/>
        </w:rPr>
        <w:t>ārstēšanā</w:t>
      </w:r>
      <w:r w:rsidR="00AA433F" w:rsidRPr="00321CBD">
        <w:rPr>
          <w:rFonts w:ascii="Times New Roman" w:hAnsi="Times New Roman" w:cs="Times New Roman"/>
          <w:sz w:val="24"/>
          <w:szCs w:val="24"/>
          <w:lang w:val="lv-LV"/>
        </w:rPr>
        <w:t>.</w:t>
      </w:r>
    </w:p>
    <w:p w14:paraId="6BD2D291" w14:textId="77777777" w:rsidR="00F170AD" w:rsidRPr="00321CBD" w:rsidRDefault="00F170AD">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p w14:paraId="11E50448" w14:textId="77777777" w:rsidR="009F0E2D" w:rsidRPr="00321CBD" w:rsidRDefault="00785585"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Darba metodes</w:t>
      </w:r>
    </w:p>
    <w:p w14:paraId="19E1FE86" w14:textId="79045308" w:rsidR="00785585" w:rsidRPr="00321CBD" w:rsidRDefault="00321CBD" w:rsidP="0069042A">
      <w:pPr>
        <w:pStyle w:val="ListParagraph"/>
        <w:numPr>
          <w:ilvl w:val="0"/>
          <w:numId w:val="8"/>
        </w:numPr>
        <w:spacing w:line="360" w:lineRule="auto"/>
        <w:jc w:val="both"/>
        <w:rPr>
          <w:rFonts w:ascii="Times New Roman" w:hAnsi="Times New Roman" w:cs="Times New Roman"/>
          <w:sz w:val="24"/>
          <w:szCs w:val="24"/>
          <w:lang w:val="lv-LV"/>
        </w:rPr>
      </w:pPr>
      <w:r>
        <w:rPr>
          <w:rFonts w:ascii="Times New Roman" w:hAnsi="Times New Roman" w:cs="Times New Roman"/>
          <w:b/>
          <w:sz w:val="24"/>
          <w:szCs w:val="24"/>
          <w:lang w:val="lv-LV"/>
        </w:rPr>
        <w:t>Pētī</w:t>
      </w:r>
      <w:r w:rsidR="00785585" w:rsidRPr="00321CBD">
        <w:rPr>
          <w:rFonts w:ascii="Times New Roman" w:hAnsi="Times New Roman" w:cs="Times New Roman"/>
          <w:b/>
          <w:sz w:val="24"/>
          <w:szCs w:val="24"/>
          <w:lang w:val="lv-LV"/>
        </w:rPr>
        <w:t xml:space="preserve">juma veids: </w:t>
      </w:r>
      <w:r w:rsidR="00785585" w:rsidRPr="00321CBD">
        <w:rPr>
          <w:rFonts w:ascii="Times New Roman" w:hAnsi="Times New Roman" w:cs="Times New Roman"/>
          <w:sz w:val="24"/>
          <w:szCs w:val="24"/>
          <w:lang w:val="lv-LV"/>
        </w:rPr>
        <w:t>Aprakstošs un salīdzinošs</w:t>
      </w:r>
    </w:p>
    <w:p w14:paraId="0DEE0F48" w14:textId="77777777" w:rsidR="0069042A" w:rsidRPr="00321CBD" w:rsidRDefault="0069042A" w:rsidP="0069042A">
      <w:pPr>
        <w:pStyle w:val="ListParagraph"/>
        <w:spacing w:line="360" w:lineRule="auto"/>
        <w:jc w:val="both"/>
        <w:rPr>
          <w:rFonts w:ascii="Times New Roman" w:hAnsi="Times New Roman" w:cs="Times New Roman"/>
          <w:sz w:val="24"/>
          <w:szCs w:val="24"/>
          <w:lang w:val="lv-LV"/>
        </w:rPr>
      </w:pPr>
    </w:p>
    <w:p w14:paraId="00CD0444" w14:textId="7CF58F1A" w:rsidR="00785585" w:rsidRPr="00321CBD" w:rsidRDefault="00785585" w:rsidP="0069042A">
      <w:pPr>
        <w:pStyle w:val="ListParagraph"/>
        <w:numPr>
          <w:ilvl w:val="0"/>
          <w:numId w:val="8"/>
        </w:numPr>
        <w:spacing w:line="360" w:lineRule="auto"/>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t xml:space="preserve">Pētījuma grupa: </w:t>
      </w:r>
      <w:r w:rsidRPr="00321CBD">
        <w:rPr>
          <w:rFonts w:ascii="Times New Roman" w:hAnsi="Times New Roman" w:cs="Times New Roman"/>
          <w:sz w:val="24"/>
          <w:szCs w:val="24"/>
          <w:lang w:val="lv-LV"/>
        </w:rPr>
        <w:t>Tika izanalizētas 172 slimību vēstures, kur</w:t>
      </w:r>
      <w:r w:rsidR="00AB1C7E">
        <w:rPr>
          <w:rFonts w:ascii="Times New Roman" w:hAnsi="Times New Roman" w:cs="Times New Roman"/>
          <w:sz w:val="24"/>
          <w:szCs w:val="24"/>
          <w:lang w:val="lv-LV"/>
        </w:rPr>
        <w:t>ās</w:t>
      </w:r>
      <w:r w:rsidRPr="00321CBD">
        <w:rPr>
          <w:rFonts w:ascii="Times New Roman" w:hAnsi="Times New Roman" w:cs="Times New Roman"/>
          <w:sz w:val="24"/>
          <w:szCs w:val="24"/>
          <w:lang w:val="lv-LV"/>
        </w:rPr>
        <w:t xml:space="preserve"> pacientēm dažāda iemesla dēļ tika veikta histerorezektoskopija laikā no 2013. gada sākuma līdz 2014. gada beigām</w:t>
      </w:r>
      <w:r w:rsidR="00AB1C7E">
        <w:rPr>
          <w:rFonts w:ascii="Times New Roman" w:hAnsi="Times New Roman" w:cs="Times New Roman"/>
          <w:sz w:val="24"/>
          <w:szCs w:val="24"/>
          <w:lang w:val="lv-LV"/>
        </w:rPr>
        <w:t>.</w:t>
      </w:r>
    </w:p>
    <w:p w14:paraId="542966A4" w14:textId="77777777" w:rsidR="0069042A" w:rsidRPr="00321CBD" w:rsidRDefault="0069042A" w:rsidP="0069042A">
      <w:pPr>
        <w:pStyle w:val="ListParagraph"/>
        <w:spacing w:line="360" w:lineRule="auto"/>
        <w:jc w:val="both"/>
        <w:rPr>
          <w:rFonts w:ascii="Times New Roman" w:hAnsi="Times New Roman" w:cs="Times New Roman"/>
          <w:sz w:val="24"/>
          <w:szCs w:val="24"/>
          <w:lang w:val="lv-LV"/>
        </w:rPr>
      </w:pPr>
    </w:p>
    <w:p w14:paraId="5353756C" w14:textId="51A435E1" w:rsidR="0069042A" w:rsidRPr="00321CBD" w:rsidRDefault="0069042A" w:rsidP="0069042A">
      <w:pPr>
        <w:pStyle w:val="ListParagraph"/>
        <w:numPr>
          <w:ilvl w:val="0"/>
          <w:numId w:val="8"/>
        </w:numPr>
        <w:spacing w:line="360" w:lineRule="auto"/>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t xml:space="preserve">Pētījuma laiks un vieta: </w:t>
      </w:r>
      <w:r w:rsidRPr="00321CBD">
        <w:rPr>
          <w:rFonts w:ascii="Times New Roman" w:hAnsi="Times New Roman" w:cs="Times New Roman"/>
          <w:sz w:val="24"/>
          <w:szCs w:val="24"/>
          <w:lang w:val="lv-LV"/>
        </w:rPr>
        <w:t>Pēt</w:t>
      </w:r>
      <w:r w:rsidR="00321CBD">
        <w:rPr>
          <w:rFonts w:ascii="Times New Roman" w:hAnsi="Times New Roman" w:cs="Times New Roman"/>
          <w:sz w:val="24"/>
          <w:szCs w:val="24"/>
          <w:lang w:val="lv-LV"/>
        </w:rPr>
        <w:t>ī</w:t>
      </w:r>
      <w:r w:rsidRPr="00321CBD">
        <w:rPr>
          <w:rFonts w:ascii="Times New Roman" w:hAnsi="Times New Roman" w:cs="Times New Roman"/>
          <w:sz w:val="24"/>
          <w:szCs w:val="24"/>
          <w:lang w:val="lv-LV"/>
        </w:rPr>
        <w:t xml:space="preserve">jums tika veikts </w:t>
      </w:r>
      <w:r w:rsidR="00AB1C7E">
        <w:rPr>
          <w:rFonts w:ascii="Times New Roman" w:hAnsi="Times New Roman" w:cs="Times New Roman"/>
          <w:sz w:val="24"/>
          <w:szCs w:val="24"/>
          <w:lang w:val="lv-LV"/>
        </w:rPr>
        <w:t xml:space="preserve">no </w:t>
      </w:r>
      <w:r w:rsidRPr="00321CBD">
        <w:rPr>
          <w:rFonts w:ascii="Times New Roman" w:hAnsi="Times New Roman" w:cs="Times New Roman"/>
          <w:sz w:val="24"/>
          <w:szCs w:val="24"/>
          <w:lang w:val="lv-LV"/>
        </w:rPr>
        <w:t>2015.gada aprī</w:t>
      </w:r>
      <w:r w:rsidR="00AB1C7E">
        <w:rPr>
          <w:rFonts w:ascii="Times New Roman" w:hAnsi="Times New Roman" w:cs="Times New Roman"/>
          <w:sz w:val="24"/>
          <w:szCs w:val="24"/>
          <w:lang w:val="lv-LV"/>
        </w:rPr>
        <w:t>ļa līdz maijam</w:t>
      </w:r>
      <w:r w:rsidRPr="00321CBD">
        <w:rPr>
          <w:rFonts w:ascii="Times New Roman" w:hAnsi="Times New Roman" w:cs="Times New Roman"/>
          <w:sz w:val="24"/>
          <w:szCs w:val="24"/>
          <w:lang w:val="lv-LV"/>
        </w:rPr>
        <w:t xml:space="preserve"> </w:t>
      </w:r>
      <w:r w:rsidR="009E69D4">
        <w:rPr>
          <w:rFonts w:ascii="Times New Roman" w:hAnsi="Times New Roman" w:cs="Times New Roman"/>
          <w:sz w:val="24"/>
          <w:szCs w:val="24"/>
          <w:lang w:val="lv-LV"/>
        </w:rPr>
        <w:t>A/S „Latvijas Jūras Medicīnas Centrs”</w:t>
      </w:r>
      <w:r w:rsidRPr="00321CBD">
        <w:rPr>
          <w:rFonts w:ascii="Times New Roman" w:hAnsi="Times New Roman" w:cs="Times New Roman"/>
          <w:sz w:val="24"/>
          <w:szCs w:val="24"/>
          <w:lang w:val="lv-LV"/>
        </w:rPr>
        <w:t>.</w:t>
      </w:r>
    </w:p>
    <w:p w14:paraId="43CC9F5A" w14:textId="77777777" w:rsidR="0069042A" w:rsidRPr="00321CBD" w:rsidRDefault="0069042A" w:rsidP="0069042A">
      <w:pPr>
        <w:pStyle w:val="ListParagraph"/>
        <w:spacing w:line="360" w:lineRule="auto"/>
        <w:jc w:val="both"/>
        <w:rPr>
          <w:rFonts w:ascii="Times New Roman" w:hAnsi="Times New Roman" w:cs="Times New Roman"/>
          <w:sz w:val="24"/>
          <w:szCs w:val="24"/>
          <w:lang w:val="lv-LV"/>
        </w:rPr>
      </w:pPr>
    </w:p>
    <w:p w14:paraId="1C0A27D9" w14:textId="649D8F76" w:rsidR="00785585" w:rsidRPr="00321CBD" w:rsidRDefault="00785585" w:rsidP="0069042A">
      <w:pPr>
        <w:pStyle w:val="ListParagraph"/>
        <w:numPr>
          <w:ilvl w:val="0"/>
          <w:numId w:val="8"/>
        </w:numPr>
        <w:spacing w:line="360" w:lineRule="auto"/>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t xml:space="preserve">Pētījuma metode: </w:t>
      </w:r>
      <w:r w:rsidR="00D13DB5" w:rsidRPr="00321CBD">
        <w:rPr>
          <w:rFonts w:ascii="Times New Roman" w:hAnsi="Times New Roman" w:cs="Times New Roman"/>
          <w:sz w:val="24"/>
          <w:szCs w:val="24"/>
          <w:lang w:val="lv-LV"/>
        </w:rPr>
        <w:t xml:space="preserve">Retrospektīva slimības vēsturu analīze </w:t>
      </w:r>
      <w:r w:rsidR="00AB1C7E">
        <w:rPr>
          <w:rFonts w:ascii="Times New Roman" w:hAnsi="Times New Roman" w:cs="Times New Roman"/>
          <w:sz w:val="24"/>
          <w:szCs w:val="24"/>
          <w:lang w:val="lv-LV"/>
        </w:rPr>
        <w:t>izmantojot</w:t>
      </w:r>
      <w:r w:rsidR="00D13DB5" w:rsidRPr="00321CBD">
        <w:rPr>
          <w:rFonts w:ascii="Times New Roman" w:hAnsi="Times New Roman" w:cs="Times New Roman"/>
          <w:sz w:val="24"/>
          <w:szCs w:val="24"/>
          <w:lang w:val="lv-LV"/>
        </w:rPr>
        <w:t xml:space="preserve"> noteiktu protokolu. Analizējot slimības vēstures, tika atzīmēts pacientes vecums, menopauzes esamība, pacientes ķermeņa masas indeks</w:t>
      </w:r>
      <w:r w:rsidR="00321CBD">
        <w:rPr>
          <w:rFonts w:ascii="Times New Roman" w:hAnsi="Times New Roman" w:cs="Times New Roman"/>
          <w:sz w:val="24"/>
          <w:szCs w:val="24"/>
          <w:lang w:val="lv-LV"/>
        </w:rPr>
        <w:t>s</w:t>
      </w:r>
      <w:r w:rsidR="00D13DB5" w:rsidRPr="00321CBD">
        <w:rPr>
          <w:rFonts w:ascii="Times New Roman" w:hAnsi="Times New Roman" w:cs="Times New Roman"/>
          <w:sz w:val="24"/>
          <w:szCs w:val="24"/>
          <w:lang w:val="lv-LV"/>
        </w:rPr>
        <w:t>, sūdzības, s</w:t>
      </w:r>
      <w:r w:rsidR="00321CBD">
        <w:rPr>
          <w:rFonts w:ascii="Times New Roman" w:hAnsi="Times New Roman" w:cs="Times New Roman"/>
          <w:sz w:val="24"/>
          <w:szCs w:val="24"/>
          <w:lang w:val="lv-LV"/>
        </w:rPr>
        <w:t>ū</w:t>
      </w:r>
      <w:r w:rsidR="00D13DB5" w:rsidRPr="00321CBD">
        <w:rPr>
          <w:rFonts w:ascii="Times New Roman" w:hAnsi="Times New Roman" w:cs="Times New Roman"/>
          <w:sz w:val="24"/>
          <w:szCs w:val="24"/>
          <w:lang w:val="lv-LV"/>
        </w:rPr>
        <w:t>dzību ilgums. Otr</w:t>
      </w:r>
      <w:r w:rsidR="00B96F7C">
        <w:rPr>
          <w:rFonts w:ascii="Times New Roman" w:hAnsi="Times New Roman" w:cs="Times New Roman"/>
          <w:sz w:val="24"/>
          <w:szCs w:val="24"/>
          <w:lang w:val="lv-LV"/>
        </w:rPr>
        <w:t>aj</w:t>
      </w:r>
      <w:r w:rsidR="00D13DB5" w:rsidRPr="00321CBD">
        <w:rPr>
          <w:rFonts w:ascii="Times New Roman" w:hAnsi="Times New Roman" w:cs="Times New Roman"/>
          <w:sz w:val="24"/>
          <w:szCs w:val="24"/>
          <w:lang w:val="lv-LV"/>
        </w:rPr>
        <w:t>ā blokā tika pētīt</w:t>
      </w:r>
      <w:r w:rsidR="00B96F7C">
        <w:rPr>
          <w:rFonts w:ascii="Times New Roman" w:hAnsi="Times New Roman" w:cs="Times New Roman"/>
          <w:sz w:val="24"/>
          <w:szCs w:val="24"/>
          <w:lang w:val="lv-LV"/>
        </w:rPr>
        <w:t>i</w:t>
      </w:r>
      <w:r w:rsidR="00D13DB5" w:rsidRPr="00321CBD">
        <w:rPr>
          <w:rFonts w:ascii="Times New Roman" w:hAnsi="Times New Roman" w:cs="Times New Roman"/>
          <w:sz w:val="24"/>
          <w:szCs w:val="24"/>
          <w:lang w:val="lv-LV"/>
        </w:rPr>
        <w:t xml:space="preserve"> diagnostikas un ārstēšanas metožu rezultāti</w:t>
      </w:r>
      <w:r w:rsidR="00B96F7C">
        <w:rPr>
          <w:rFonts w:ascii="Times New Roman" w:hAnsi="Times New Roman" w:cs="Times New Roman"/>
          <w:sz w:val="24"/>
          <w:szCs w:val="24"/>
          <w:lang w:val="lv-LV"/>
        </w:rPr>
        <w:t xml:space="preserve"> -</w:t>
      </w:r>
      <w:r w:rsidR="00D13DB5" w:rsidRPr="00321CBD">
        <w:rPr>
          <w:rFonts w:ascii="Times New Roman" w:hAnsi="Times New Roman" w:cs="Times New Roman"/>
          <w:sz w:val="24"/>
          <w:szCs w:val="24"/>
          <w:lang w:val="lv-LV"/>
        </w:rPr>
        <w:t xml:space="preserve"> preoperatīv</w:t>
      </w:r>
      <w:r w:rsidR="00B96F7C">
        <w:rPr>
          <w:rFonts w:ascii="Times New Roman" w:hAnsi="Times New Roman" w:cs="Times New Roman"/>
          <w:sz w:val="24"/>
          <w:szCs w:val="24"/>
          <w:lang w:val="lv-LV"/>
        </w:rPr>
        <w:t>ā</w:t>
      </w:r>
      <w:r w:rsidR="00D13DB5" w:rsidRPr="00321CBD">
        <w:rPr>
          <w:rFonts w:ascii="Times New Roman" w:hAnsi="Times New Roman" w:cs="Times New Roman"/>
          <w:sz w:val="24"/>
          <w:szCs w:val="24"/>
          <w:lang w:val="lv-LV"/>
        </w:rPr>
        <w:t xml:space="preserve"> US atradne, atradne histerorezektoskopijas laikā</w:t>
      </w:r>
      <w:r w:rsidR="00B96F7C">
        <w:rPr>
          <w:rFonts w:ascii="Times New Roman" w:hAnsi="Times New Roman" w:cs="Times New Roman"/>
          <w:sz w:val="24"/>
          <w:szCs w:val="24"/>
          <w:lang w:val="lv-LV"/>
        </w:rPr>
        <w:t>.</w:t>
      </w:r>
      <w:r w:rsidR="00D13DB5" w:rsidRPr="00321CBD">
        <w:rPr>
          <w:rFonts w:ascii="Times New Roman" w:hAnsi="Times New Roman" w:cs="Times New Roman"/>
          <w:sz w:val="24"/>
          <w:szCs w:val="24"/>
          <w:lang w:val="lv-LV"/>
        </w:rPr>
        <w:t xml:space="preserve"> </w:t>
      </w:r>
      <w:r w:rsidR="00B96F7C">
        <w:rPr>
          <w:rFonts w:ascii="Times New Roman" w:hAnsi="Times New Roman" w:cs="Times New Roman"/>
          <w:sz w:val="24"/>
          <w:szCs w:val="24"/>
          <w:lang w:val="lv-LV"/>
        </w:rPr>
        <w:t>S</w:t>
      </w:r>
      <w:r w:rsidR="00D13DB5" w:rsidRPr="00321CBD">
        <w:rPr>
          <w:rFonts w:ascii="Times New Roman" w:hAnsi="Times New Roman" w:cs="Times New Roman"/>
          <w:sz w:val="24"/>
          <w:szCs w:val="24"/>
          <w:lang w:val="lv-LV"/>
        </w:rPr>
        <w:t>alīdzinājumam tika izmantota histoloģisk</w:t>
      </w:r>
      <w:r w:rsidR="00B96F7C">
        <w:rPr>
          <w:rFonts w:ascii="Times New Roman" w:hAnsi="Times New Roman" w:cs="Times New Roman"/>
          <w:sz w:val="24"/>
          <w:szCs w:val="24"/>
          <w:lang w:val="lv-LV"/>
        </w:rPr>
        <w:t>ā</w:t>
      </w:r>
      <w:r w:rsidR="00D13DB5" w:rsidRPr="00321CBD">
        <w:rPr>
          <w:rFonts w:ascii="Times New Roman" w:hAnsi="Times New Roman" w:cs="Times New Roman"/>
          <w:sz w:val="24"/>
          <w:szCs w:val="24"/>
          <w:lang w:val="lv-LV"/>
        </w:rPr>
        <w:t xml:space="preserve"> atbilde</w:t>
      </w:r>
      <w:r w:rsidR="00AB1C7E">
        <w:rPr>
          <w:rFonts w:ascii="Times New Roman" w:hAnsi="Times New Roman" w:cs="Times New Roman"/>
          <w:sz w:val="24"/>
          <w:szCs w:val="24"/>
          <w:lang w:val="lv-LV"/>
        </w:rPr>
        <w:t xml:space="preserve"> </w:t>
      </w:r>
      <w:r w:rsidR="00D13DB5" w:rsidRPr="00321CBD">
        <w:rPr>
          <w:rFonts w:ascii="Times New Roman" w:hAnsi="Times New Roman" w:cs="Times New Roman"/>
          <w:sz w:val="24"/>
          <w:szCs w:val="24"/>
          <w:lang w:val="lv-LV"/>
        </w:rPr>
        <w:t xml:space="preserve">kā </w:t>
      </w:r>
      <w:r w:rsidR="009E69D4">
        <w:rPr>
          <w:rFonts w:ascii="Times New Roman" w:hAnsi="Times New Roman" w:cs="Times New Roman"/>
          <w:sz w:val="24"/>
          <w:szCs w:val="24"/>
          <w:lang w:val="lv-LV"/>
        </w:rPr>
        <w:t>„</w:t>
      </w:r>
      <w:r w:rsidR="00D13DB5" w:rsidRPr="00321CBD">
        <w:rPr>
          <w:rFonts w:ascii="Times New Roman" w:hAnsi="Times New Roman" w:cs="Times New Roman"/>
          <w:sz w:val="24"/>
          <w:szCs w:val="24"/>
          <w:lang w:val="lv-LV"/>
        </w:rPr>
        <w:t>zelta standarts</w:t>
      </w:r>
      <w:r w:rsidR="009E69D4">
        <w:rPr>
          <w:rFonts w:ascii="Times New Roman" w:hAnsi="Times New Roman" w:cs="Times New Roman"/>
          <w:sz w:val="24"/>
          <w:szCs w:val="24"/>
          <w:lang w:val="lv-LV"/>
        </w:rPr>
        <w:t>”</w:t>
      </w:r>
      <w:r w:rsidR="00D13DB5" w:rsidRPr="00321CBD">
        <w:rPr>
          <w:rFonts w:ascii="Times New Roman" w:hAnsi="Times New Roman" w:cs="Times New Roman"/>
          <w:sz w:val="24"/>
          <w:szCs w:val="24"/>
          <w:lang w:val="lv-LV"/>
        </w:rPr>
        <w:t xml:space="preserve">. </w:t>
      </w:r>
      <w:r w:rsidR="00B96F7C">
        <w:rPr>
          <w:rFonts w:ascii="Times New Roman" w:hAnsi="Times New Roman" w:cs="Times New Roman"/>
          <w:sz w:val="24"/>
          <w:szCs w:val="24"/>
          <w:lang w:val="lv-LV"/>
        </w:rPr>
        <w:t>Darba</w:t>
      </w:r>
      <w:r w:rsidR="00B96F7C" w:rsidRPr="00321CBD">
        <w:rPr>
          <w:rFonts w:ascii="Times New Roman" w:hAnsi="Times New Roman" w:cs="Times New Roman"/>
          <w:sz w:val="24"/>
          <w:szCs w:val="24"/>
          <w:lang w:val="lv-LV"/>
        </w:rPr>
        <w:t xml:space="preserve"> </w:t>
      </w:r>
      <w:r w:rsidR="00D13DB5" w:rsidRPr="00321CBD">
        <w:rPr>
          <w:rFonts w:ascii="Times New Roman" w:hAnsi="Times New Roman" w:cs="Times New Roman"/>
          <w:sz w:val="24"/>
          <w:szCs w:val="24"/>
          <w:lang w:val="lv-LV"/>
        </w:rPr>
        <w:t>mērķis nebija pētīt histerorezektoskopijas ārstēšanas efektivitāt</w:t>
      </w:r>
      <w:r w:rsidR="00B96F7C">
        <w:rPr>
          <w:rFonts w:ascii="Times New Roman" w:hAnsi="Times New Roman" w:cs="Times New Roman"/>
          <w:sz w:val="24"/>
          <w:szCs w:val="24"/>
          <w:lang w:val="lv-LV"/>
        </w:rPr>
        <w:t>i</w:t>
      </w:r>
      <w:r w:rsidR="00D13DB5" w:rsidRPr="00321CBD">
        <w:rPr>
          <w:rFonts w:ascii="Times New Roman" w:hAnsi="Times New Roman" w:cs="Times New Roman"/>
          <w:sz w:val="24"/>
          <w:szCs w:val="24"/>
          <w:lang w:val="lv-LV"/>
        </w:rPr>
        <w:t>, bet gan šīs metodes diagnostisk</w:t>
      </w:r>
      <w:r w:rsidR="00B96F7C">
        <w:rPr>
          <w:rFonts w:ascii="Times New Roman" w:hAnsi="Times New Roman" w:cs="Times New Roman"/>
          <w:sz w:val="24"/>
          <w:szCs w:val="24"/>
          <w:lang w:val="lv-LV"/>
        </w:rPr>
        <w:t>o</w:t>
      </w:r>
      <w:r w:rsidR="00D13DB5" w:rsidRPr="00321CBD">
        <w:rPr>
          <w:rFonts w:ascii="Times New Roman" w:hAnsi="Times New Roman" w:cs="Times New Roman"/>
          <w:sz w:val="24"/>
          <w:szCs w:val="24"/>
          <w:lang w:val="lv-LV"/>
        </w:rPr>
        <w:t xml:space="preserve"> vērtīb</w:t>
      </w:r>
      <w:r w:rsidR="00B96F7C">
        <w:rPr>
          <w:rFonts w:ascii="Times New Roman" w:hAnsi="Times New Roman" w:cs="Times New Roman"/>
          <w:sz w:val="24"/>
          <w:szCs w:val="24"/>
          <w:lang w:val="lv-LV"/>
        </w:rPr>
        <w:t>u</w:t>
      </w:r>
      <w:r w:rsidR="00D13DB5" w:rsidRPr="00321CBD">
        <w:rPr>
          <w:rFonts w:ascii="Times New Roman" w:hAnsi="Times New Roman" w:cs="Times New Roman"/>
          <w:sz w:val="24"/>
          <w:szCs w:val="24"/>
          <w:lang w:val="lv-LV"/>
        </w:rPr>
        <w:t xml:space="preserve"> un patoloģisk</w:t>
      </w:r>
      <w:r w:rsidR="00B96F7C">
        <w:rPr>
          <w:rFonts w:ascii="Times New Roman" w:hAnsi="Times New Roman" w:cs="Times New Roman"/>
          <w:sz w:val="24"/>
          <w:szCs w:val="24"/>
          <w:lang w:val="lv-LV"/>
        </w:rPr>
        <w:t>ā</w:t>
      </w:r>
      <w:r w:rsidR="00D13DB5" w:rsidRPr="00321CBD">
        <w:rPr>
          <w:rFonts w:ascii="Times New Roman" w:hAnsi="Times New Roman" w:cs="Times New Roman"/>
          <w:sz w:val="24"/>
          <w:szCs w:val="24"/>
          <w:lang w:val="lv-LV"/>
        </w:rPr>
        <w:t>s dzemdes asiņošanas iemeslu</w:t>
      </w:r>
      <w:r w:rsidR="00B96F7C">
        <w:rPr>
          <w:rFonts w:ascii="Times New Roman" w:hAnsi="Times New Roman" w:cs="Times New Roman"/>
          <w:sz w:val="24"/>
          <w:szCs w:val="24"/>
          <w:lang w:val="lv-LV"/>
        </w:rPr>
        <w:t>s</w:t>
      </w:r>
      <w:r w:rsidR="00D13DB5" w:rsidRPr="00321CBD">
        <w:rPr>
          <w:rFonts w:ascii="Times New Roman" w:hAnsi="Times New Roman" w:cs="Times New Roman"/>
          <w:sz w:val="24"/>
          <w:szCs w:val="24"/>
          <w:lang w:val="lv-LV"/>
        </w:rPr>
        <w:t xml:space="preserve">. </w:t>
      </w:r>
      <w:r w:rsidR="0069042A" w:rsidRPr="00321CBD">
        <w:rPr>
          <w:rFonts w:ascii="Times New Roman" w:hAnsi="Times New Roman" w:cs="Times New Roman"/>
          <w:sz w:val="24"/>
          <w:szCs w:val="24"/>
          <w:lang w:val="lv-LV"/>
        </w:rPr>
        <w:t>Šīm nolūkam tika izrēķināta metodes sensitivitāte, specifitāte, kā arī pozitīva un negatīva paredzama vērtība. Asiņošanas iemesli analizēti atbilstoši WHO patoloģiskas dzemdes asiņošanas klasifikācijas PALM daļai.</w:t>
      </w:r>
    </w:p>
    <w:p w14:paraId="4CA775BD" w14:textId="77777777" w:rsidR="0069042A" w:rsidRPr="00321CBD" w:rsidRDefault="0069042A" w:rsidP="0069042A">
      <w:pPr>
        <w:pStyle w:val="ListParagraph"/>
        <w:rPr>
          <w:rFonts w:ascii="Times New Roman" w:hAnsi="Times New Roman" w:cs="Times New Roman"/>
          <w:sz w:val="24"/>
          <w:szCs w:val="24"/>
          <w:lang w:val="lv-LV"/>
        </w:rPr>
      </w:pPr>
    </w:p>
    <w:p w14:paraId="4F5CBF8E" w14:textId="0B9581B4" w:rsidR="0069042A" w:rsidRPr="00321CBD" w:rsidRDefault="0069042A" w:rsidP="0069042A">
      <w:pPr>
        <w:pStyle w:val="ListParagraph"/>
        <w:numPr>
          <w:ilvl w:val="0"/>
          <w:numId w:val="8"/>
        </w:numPr>
        <w:spacing w:line="360" w:lineRule="auto"/>
        <w:jc w:val="both"/>
        <w:rPr>
          <w:rFonts w:ascii="Times New Roman" w:hAnsi="Times New Roman" w:cs="Times New Roman"/>
          <w:sz w:val="24"/>
          <w:szCs w:val="24"/>
          <w:lang w:val="lv-LV"/>
        </w:rPr>
      </w:pPr>
      <w:r w:rsidRPr="00321CBD">
        <w:rPr>
          <w:rFonts w:ascii="Times New Roman" w:hAnsi="Times New Roman" w:cs="Times New Roman"/>
          <w:b/>
          <w:sz w:val="24"/>
          <w:szCs w:val="24"/>
          <w:lang w:val="lv-LV"/>
        </w:rPr>
        <w:t xml:space="preserve">Datu apstrāde: </w:t>
      </w:r>
      <w:r w:rsidRPr="00321CBD">
        <w:rPr>
          <w:rFonts w:ascii="Times New Roman" w:hAnsi="Times New Roman" w:cs="Times New Roman"/>
          <w:sz w:val="24"/>
          <w:szCs w:val="24"/>
          <w:lang w:val="lv-LV"/>
        </w:rPr>
        <w:t>Pēc datu savākšanas, tie tika analizēti ar SPSS 17 un MS Excel 2010 programmām.</w:t>
      </w:r>
    </w:p>
    <w:p w14:paraId="342D9A01" w14:textId="77777777" w:rsidR="0069042A" w:rsidRPr="00321CBD" w:rsidRDefault="0069042A" w:rsidP="0069042A">
      <w:pPr>
        <w:pStyle w:val="ListParagraph"/>
        <w:rPr>
          <w:rFonts w:ascii="Times New Roman" w:hAnsi="Times New Roman" w:cs="Times New Roman"/>
          <w:sz w:val="24"/>
          <w:szCs w:val="24"/>
          <w:lang w:val="lv-LV"/>
        </w:rPr>
      </w:pPr>
    </w:p>
    <w:p w14:paraId="5479F606" w14:textId="0713294C" w:rsidR="00D006E8" w:rsidRPr="00321CBD" w:rsidRDefault="0031336D" w:rsidP="0069042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Visi dati ir saņemti ar A/S „Latvijas Jūras Medicīnas Centrs” </w:t>
      </w:r>
      <w:r w:rsidR="005517D8">
        <w:rPr>
          <w:rFonts w:ascii="Times New Roman" w:hAnsi="Times New Roman" w:cs="Times New Roman"/>
          <w:sz w:val="24"/>
          <w:szCs w:val="24"/>
          <w:lang w:val="lv-LV"/>
        </w:rPr>
        <w:t>direktora</w:t>
      </w:r>
      <w:r w:rsidRPr="00321CBD">
        <w:rPr>
          <w:rFonts w:ascii="Times New Roman" w:hAnsi="Times New Roman" w:cs="Times New Roman"/>
          <w:sz w:val="24"/>
          <w:szCs w:val="24"/>
          <w:lang w:val="lv-LV"/>
        </w:rPr>
        <w:t xml:space="preserve"> un ginekoloģijas nodaļas vadītājas atļauju, un tika izmantoti tikai konkrētam pētījumam. Nekāda informācija veicot pēt</w:t>
      </w:r>
      <w:r w:rsidR="00E50567">
        <w:rPr>
          <w:rFonts w:ascii="Times New Roman" w:hAnsi="Times New Roman" w:cs="Times New Roman"/>
          <w:sz w:val="24"/>
          <w:szCs w:val="24"/>
          <w:lang w:val="lv-LV"/>
        </w:rPr>
        <w:t>ī</w:t>
      </w:r>
      <w:r w:rsidRPr="00321CBD">
        <w:rPr>
          <w:rFonts w:ascii="Times New Roman" w:hAnsi="Times New Roman" w:cs="Times New Roman"/>
          <w:sz w:val="24"/>
          <w:szCs w:val="24"/>
          <w:lang w:val="lv-LV"/>
        </w:rPr>
        <w:t>jumu netika publ</w:t>
      </w:r>
      <w:r w:rsidR="00600815">
        <w:rPr>
          <w:rFonts w:ascii="Times New Roman" w:hAnsi="Times New Roman" w:cs="Times New Roman"/>
          <w:sz w:val="24"/>
          <w:szCs w:val="24"/>
          <w:lang w:val="lv-LV"/>
        </w:rPr>
        <w:t>icēta</w:t>
      </w:r>
      <w:r w:rsidRPr="00321CBD">
        <w:rPr>
          <w:rFonts w:ascii="Times New Roman" w:hAnsi="Times New Roman" w:cs="Times New Roman"/>
          <w:sz w:val="24"/>
          <w:szCs w:val="24"/>
          <w:lang w:val="lv-LV"/>
        </w:rPr>
        <w:t xml:space="preserve"> vai citādi izmantota.</w:t>
      </w:r>
    </w:p>
    <w:p w14:paraId="65E01FF7" w14:textId="77777777" w:rsidR="00D006E8" w:rsidRPr="00321CBD" w:rsidRDefault="00D006E8">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p w14:paraId="62373420" w14:textId="77777777" w:rsidR="0069042A" w:rsidRPr="00321CBD" w:rsidRDefault="00D006E8" w:rsidP="0069042A">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Rezultāti</w:t>
      </w:r>
    </w:p>
    <w:p w14:paraId="7AD790F4" w14:textId="77777777" w:rsidR="009C1B0B" w:rsidRPr="00321CBD" w:rsidRDefault="009C1B0B" w:rsidP="0069042A">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Pacienšu vecuma analīze</w:t>
      </w:r>
    </w:p>
    <w:p w14:paraId="3AE0DEF8" w14:textId="24CA5411" w:rsidR="009376AC" w:rsidRPr="00321CBD" w:rsidRDefault="000E4890" w:rsidP="0069042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Kopā tika izanalizētas 172 </w:t>
      </w:r>
      <w:r w:rsidR="00600815">
        <w:rPr>
          <w:rFonts w:ascii="Times New Roman" w:hAnsi="Times New Roman" w:cs="Times New Roman"/>
          <w:sz w:val="24"/>
          <w:szCs w:val="24"/>
          <w:lang w:val="lv-LV"/>
        </w:rPr>
        <w:t xml:space="preserve">slimības </w:t>
      </w:r>
      <w:r w:rsidRPr="00321CBD">
        <w:rPr>
          <w:rFonts w:ascii="Times New Roman" w:hAnsi="Times New Roman" w:cs="Times New Roman"/>
          <w:sz w:val="24"/>
          <w:szCs w:val="24"/>
          <w:lang w:val="lv-LV"/>
        </w:rPr>
        <w:t xml:space="preserve">vēstures, kur tika veikta histerorezektoskopija. </w:t>
      </w:r>
      <w:r w:rsidR="00BF2F09" w:rsidRPr="00321CBD">
        <w:rPr>
          <w:rFonts w:ascii="Times New Roman" w:hAnsi="Times New Roman" w:cs="Times New Roman"/>
          <w:sz w:val="24"/>
          <w:szCs w:val="24"/>
          <w:lang w:val="lv-LV"/>
        </w:rPr>
        <w:t>Vidējais sievietes vecums bija 44</w:t>
      </w:r>
      <w:r w:rsidR="009F2BE0">
        <w:rPr>
          <w:rFonts w:ascii="Times New Roman" w:hAnsi="Times New Roman" w:cs="Times New Roman"/>
          <w:sz w:val="24"/>
          <w:szCs w:val="24"/>
          <w:lang w:val="lv-LV"/>
        </w:rPr>
        <w:t xml:space="preserve">, </w:t>
      </w:r>
      <w:r w:rsidR="00BF2F09" w:rsidRPr="00321CBD">
        <w:rPr>
          <w:rFonts w:ascii="Times New Roman" w:hAnsi="Times New Roman" w:cs="Times New Roman"/>
          <w:sz w:val="24"/>
          <w:szCs w:val="24"/>
          <w:lang w:val="lv-LV"/>
        </w:rPr>
        <w:t xml:space="preserve">45 gadi, minimālais </w:t>
      </w:r>
      <w:r w:rsidR="00600815">
        <w:rPr>
          <w:rFonts w:ascii="Times New Roman" w:hAnsi="Times New Roman" w:cs="Times New Roman"/>
          <w:sz w:val="24"/>
          <w:szCs w:val="24"/>
          <w:lang w:val="lv-LV"/>
        </w:rPr>
        <w:t xml:space="preserve">vecums - </w:t>
      </w:r>
      <w:r w:rsidR="00BF2F09" w:rsidRPr="00321CBD">
        <w:rPr>
          <w:rFonts w:ascii="Times New Roman" w:hAnsi="Times New Roman" w:cs="Times New Roman"/>
          <w:sz w:val="24"/>
          <w:szCs w:val="24"/>
          <w:lang w:val="lv-LV"/>
        </w:rPr>
        <w:t>23 gadi un maksimālais</w:t>
      </w:r>
      <w:r w:rsidR="00600815">
        <w:rPr>
          <w:rFonts w:ascii="Times New Roman" w:hAnsi="Times New Roman" w:cs="Times New Roman"/>
          <w:sz w:val="24"/>
          <w:szCs w:val="24"/>
          <w:lang w:val="lv-LV"/>
        </w:rPr>
        <w:t xml:space="preserve"> - </w:t>
      </w:r>
      <w:r w:rsidR="00BF2F09" w:rsidRPr="00321CBD">
        <w:rPr>
          <w:rFonts w:ascii="Times New Roman" w:hAnsi="Times New Roman" w:cs="Times New Roman"/>
          <w:sz w:val="24"/>
          <w:szCs w:val="24"/>
          <w:lang w:val="lv-LV"/>
        </w:rPr>
        <w:t>76</w:t>
      </w:r>
      <w:r w:rsidR="0017372A" w:rsidRPr="00321CBD">
        <w:rPr>
          <w:rFonts w:ascii="Times New Roman" w:hAnsi="Times New Roman" w:cs="Times New Roman"/>
          <w:sz w:val="24"/>
          <w:szCs w:val="24"/>
          <w:lang w:val="lv-LV"/>
        </w:rPr>
        <w:t xml:space="preserve"> gadi. </w:t>
      </w:r>
      <w:r w:rsidR="0060262D" w:rsidRPr="00321CBD">
        <w:rPr>
          <w:rFonts w:ascii="Times New Roman" w:hAnsi="Times New Roman" w:cs="Times New Roman"/>
          <w:sz w:val="24"/>
          <w:szCs w:val="24"/>
          <w:lang w:val="lv-LV"/>
        </w:rPr>
        <w:t>Pētot pacientes bija sadalītas trijās grupās: 1. līdz 45 gadiem 2. no 45 līdz 55 gadiem 3. Virs 55 gadiem. Šāds sadalījums tika veikts ar domu, ka vecumā no 45 līdz 55 gadi</w:t>
      </w:r>
      <w:r w:rsidR="00600815">
        <w:rPr>
          <w:rFonts w:ascii="Times New Roman" w:hAnsi="Times New Roman" w:cs="Times New Roman"/>
          <w:sz w:val="24"/>
          <w:szCs w:val="24"/>
          <w:lang w:val="lv-LV"/>
        </w:rPr>
        <w:t>em</w:t>
      </w:r>
      <w:r w:rsidR="0060262D" w:rsidRPr="00321CBD">
        <w:rPr>
          <w:rFonts w:ascii="Times New Roman" w:hAnsi="Times New Roman" w:cs="Times New Roman"/>
          <w:sz w:val="24"/>
          <w:szCs w:val="24"/>
          <w:lang w:val="lv-LV"/>
        </w:rPr>
        <w:t xml:space="preserve"> visbiežāk</w:t>
      </w:r>
      <w:r w:rsidR="007C190A" w:rsidRPr="007C190A">
        <w:rPr>
          <w:rFonts w:ascii="Times New Roman" w:hAnsi="Times New Roman" w:cs="Times New Roman"/>
          <w:sz w:val="24"/>
          <w:szCs w:val="24"/>
          <w:lang w:val="lv-LV"/>
        </w:rPr>
        <w:t xml:space="preserve"> </w:t>
      </w:r>
      <w:r w:rsidR="007C190A" w:rsidRPr="00321CBD">
        <w:rPr>
          <w:rFonts w:ascii="Times New Roman" w:hAnsi="Times New Roman" w:cs="Times New Roman"/>
          <w:sz w:val="24"/>
          <w:szCs w:val="24"/>
          <w:lang w:val="lv-LV"/>
        </w:rPr>
        <w:t>tiek</w:t>
      </w:r>
      <w:r w:rsidR="0060262D" w:rsidRPr="00321CBD">
        <w:rPr>
          <w:rFonts w:ascii="Times New Roman" w:hAnsi="Times New Roman" w:cs="Times New Roman"/>
          <w:sz w:val="24"/>
          <w:szCs w:val="24"/>
          <w:lang w:val="lv-LV"/>
        </w:rPr>
        <w:t xml:space="preserve"> novērotas hormonālas svārstības, kas var novest pie dažādas patoloģijas formēšanas, un to var saukt par perimenopauzes vecumu. </w:t>
      </w:r>
      <w:r w:rsidR="0017372A" w:rsidRPr="00321CBD">
        <w:rPr>
          <w:rFonts w:ascii="Times New Roman" w:hAnsi="Times New Roman" w:cs="Times New Roman"/>
          <w:sz w:val="24"/>
          <w:szCs w:val="24"/>
          <w:lang w:val="lv-LV"/>
        </w:rPr>
        <w:t>Vislielāk</w:t>
      </w:r>
      <w:r w:rsidR="007C190A">
        <w:rPr>
          <w:rFonts w:ascii="Times New Roman" w:hAnsi="Times New Roman" w:cs="Times New Roman"/>
          <w:sz w:val="24"/>
          <w:szCs w:val="24"/>
          <w:lang w:val="lv-LV"/>
        </w:rPr>
        <w:t>ā</w:t>
      </w:r>
      <w:r w:rsidR="0017372A" w:rsidRPr="00321CBD">
        <w:rPr>
          <w:rFonts w:ascii="Times New Roman" w:hAnsi="Times New Roman" w:cs="Times New Roman"/>
          <w:sz w:val="24"/>
          <w:szCs w:val="24"/>
          <w:lang w:val="lv-LV"/>
        </w:rPr>
        <w:t xml:space="preserve"> pacien</w:t>
      </w:r>
      <w:r w:rsidR="007C190A">
        <w:rPr>
          <w:rFonts w:ascii="Times New Roman" w:hAnsi="Times New Roman" w:cs="Times New Roman"/>
          <w:sz w:val="24"/>
          <w:szCs w:val="24"/>
          <w:lang w:val="lv-LV"/>
        </w:rPr>
        <w:t>šu</w:t>
      </w:r>
      <w:r w:rsidR="0017372A" w:rsidRPr="00321CBD">
        <w:rPr>
          <w:rFonts w:ascii="Times New Roman" w:hAnsi="Times New Roman" w:cs="Times New Roman"/>
          <w:sz w:val="24"/>
          <w:szCs w:val="24"/>
          <w:lang w:val="lv-LV"/>
        </w:rPr>
        <w:t xml:space="preserve"> daļa bija vecumā līdz 45 gadiem (56,4%). Bet perimenopauzes un menopauzes vecuma sievietes sastād</w:t>
      </w:r>
      <w:r w:rsidR="006F0963">
        <w:rPr>
          <w:rFonts w:ascii="Times New Roman" w:hAnsi="Times New Roman" w:cs="Times New Roman"/>
          <w:sz w:val="24"/>
          <w:szCs w:val="24"/>
          <w:lang w:val="lv-LV"/>
        </w:rPr>
        <w:t>ī</w:t>
      </w:r>
      <w:r w:rsidR="0017372A" w:rsidRPr="00321CBD">
        <w:rPr>
          <w:rFonts w:ascii="Times New Roman" w:hAnsi="Times New Roman" w:cs="Times New Roman"/>
          <w:sz w:val="24"/>
          <w:szCs w:val="24"/>
          <w:lang w:val="lv-LV"/>
        </w:rPr>
        <w:t xml:space="preserve">ja 43,6%. No tiem sievietes </w:t>
      </w:r>
      <w:r w:rsidR="000F4C72" w:rsidRPr="00321CBD">
        <w:rPr>
          <w:rFonts w:ascii="Times New Roman" w:hAnsi="Times New Roman" w:cs="Times New Roman"/>
          <w:sz w:val="24"/>
          <w:szCs w:val="24"/>
          <w:lang w:val="lv-LV"/>
        </w:rPr>
        <w:t>virs 55 gadiem sastād</w:t>
      </w:r>
      <w:r w:rsidR="006F0963">
        <w:rPr>
          <w:rFonts w:ascii="Times New Roman" w:hAnsi="Times New Roman" w:cs="Times New Roman"/>
          <w:sz w:val="24"/>
          <w:szCs w:val="24"/>
          <w:lang w:val="lv-LV"/>
        </w:rPr>
        <w:t>ī</w:t>
      </w:r>
      <w:r w:rsidR="000F4C72" w:rsidRPr="00321CBD">
        <w:rPr>
          <w:rFonts w:ascii="Times New Roman" w:hAnsi="Times New Roman" w:cs="Times New Roman"/>
          <w:sz w:val="24"/>
          <w:szCs w:val="24"/>
          <w:lang w:val="lv-LV"/>
        </w:rPr>
        <w:t>ja 26,7%. Sadal</w:t>
      </w:r>
      <w:r w:rsidR="006F0963">
        <w:rPr>
          <w:rFonts w:ascii="Times New Roman" w:hAnsi="Times New Roman" w:cs="Times New Roman"/>
          <w:sz w:val="24"/>
          <w:szCs w:val="24"/>
          <w:lang w:val="lv-LV"/>
        </w:rPr>
        <w:t>ī</w:t>
      </w:r>
      <w:r w:rsidR="000F4C72" w:rsidRPr="00321CBD">
        <w:rPr>
          <w:rFonts w:ascii="Times New Roman" w:hAnsi="Times New Roman" w:cs="Times New Roman"/>
          <w:sz w:val="24"/>
          <w:szCs w:val="24"/>
          <w:lang w:val="lv-LV"/>
        </w:rPr>
        <w:t>jums pa vecuma grupām redzams Tabulā 1.</w:t>
      </w:r>
      <w:r w:rsidR="009376AC" w:rsidRPr="00321CBD">
        <w:rPr>
          <w:rFonts w:ascii="Times New Roman" w:hAnsi="Times New Roman" w:cs="Times New Roman"/>
          <w:sz w:val="24"/>
          <w:szCs w:val="24"/>
          <w:lang w:val="lv-LV"/>
        </w:rPr>
        <w:t xml:space="preserve"> </w:t>
      </w:r>
    </w:p>
    <w:tbl>
      <w:tblPr>
        <w:tblStyle w:val="LightShading-Accent3"/>
        <w:tblW w:w="0" w:type="auto"/>
        <w:tblLook w:val="04A0" w:firstRow="1" w:lastRow="0" w:firstColumn="1" w:lastColumn="0" w:noHBand="0" w:noVBand="1"/>
      </w:tblPr>
      <w:tblGrid>
        <w:gridCol w:w="1603"/>
        <w:gridCol w:w="1603"/>
        <w:gridCol w:w="1603"/>
        <w:gridCol w:w="1603"/>
        <w:gridCol w:w="1604"/>
        <w:gridCol w:w="1604"/>
      </w:tblGrid>
      <w:tr w:rsidR="0036233F" w:rsidRPr="00321CBD" w14:paraId="4AB1F6F1" w14:textId="77777777" w:rsidTr="00773A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0" w:type="dxa"/>
            <w:gridSpan w:val="6"/>
            <w:tcBorders>
              <w:top w:val="single" w:sz="24" w:space="0" w:color="009900"/>
              <w:bottom w:val="single" w:sz="24" w:space="0" w:color="009900"/>
            </w:tcBorders>
          </w:tcPr>
          <w:p w14:paraId="5FD6B386" w14:textId="0107DFE7" w:rsidR="0036233F" w:rsidRPr="00321CBD" w:rsidRDefault="0036233F" w:rsidP="0069042A">
            <w:pPr>
              <w:spacing w:after="200" w:line="360" w:lineRule="auto"/>
              <w:jc w:val="both"/>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Tabula 1. Pacien</w:t>
            </w:r>
            <w:r w:rsidR="006F0963">
              <w:rPr>
                <w:rFonts w:ascii="Times New Roman" w:hAnsi="Times New Roman" w:cs="Times New Roman"/>
                <w:color w:val="auto"/>
                <w:sz w:val="24"/>
                <w:szCs w:val="24"/>
                <w:lang w:val="lv-LV"/>
              </w:rPr>
              <w:t>š</w:t>
            </w:r>
            <w:r w:rsidRPr="00321CBD">
              <w:rPr>
                <w:rFonts w:ascii="Times New Roman" w:hAnsi="Times New Roman" w:cs="Times New Roman"/>
                <w:color w:val="auto"/>
                <w:sz w:val="24"/>
                <w:szCs w:val="24"/>
                <w:lang w:val="lv-LV"/>
              </w:rPr>
              <w:t>u sadalījums pa vecuma grupām.</w:t>
            </w:r>
          </w:p>
        </w:tc>
      </w:tr>
      <w:tr w:rsidR="00773A47" w:rsidRPr="00321CBD" w14:paraId="1E763F4B" w14:textId="77777777" w:rsidTr="00773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gridSpan w:val="2"/>
            <w:tcBorders>
              <w:top w:val="single" w:sz="24" w:space="0" w:color="009900"/>
              <w:bottom w:val="nil"/>
            </w:tcBorders>
            <w:shd w:val="clear" w:color="auto" w:fill="auto"/>
          </w:tcPr>
          <w:p w14:paraId="285B5E88" w14:textId="77777777" w:rsidR="0036233F" w:rsidRPr="00321CBD" w:rsidRDefault="0036233F" w:rsidP="0036233F">
            <w:pPr>
              <w:spacing w:line="360" w:lineRule="auto"/>
              <w:jc w:val="center"/>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Līdz 45 gadiem</w:t>
            </w:r>
          </w:p>
        </w:tc>
        <w:tc>
          <w:tcPr>
            <w:tcW w:w="3206" w:type="dxa"/>
            <w:gridSpan w:val="2"/>
            <w:tcBorders>
              <w:top w:val="single" w:sz="24" w:space="0" w:color="009900"/>
              <w:bottom w:val="nil"/>
            </w:tcBorders>
            <w:shd w:val="clear" w:color="auto" w:fill="auto"/>
          </w:tcPr>
          <w:p w14:paraId="54465F39" w14:textId="77777777" w:rsidR="0036233F" w:rsidRPr="00321CBD" w:rsidRDefault="0036233F" w:rsidP="0036233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lv-LV"/>
              </w:rPr>
            </w:pPr>
            <w:r w:rsidRPr="00321CBD">
              <w:rPr>
                <w:rFonts w:ascii="Times New Roman" w:hAnsi="Times New Roman" w:cs="Times New Roman"/>
                <w:b/>
                <w:color w:val="auto"/>
                <w:sz w:val="24"/>
                <w:szCs w:val="24"/>
                <w:lang w:val="lv-LV"/>
              </w:rPr>
              <w:t>No 45 līdz 55 gadiem</w:t>
            </w:r>
          </w:p>
        </w:tc>
        <w:tc>
          <w:tcPr>
            <w:tcW w:w="3208" w:type="dxa"/>
            <w:gridSpan w:val="2"/>
            <w:tcBorders>
              <w:top w:val="single" w:sz="24" w:space="0" w:color="009900"/>
              <w:bottom w:val="nil"/>
            </w:tcBorders>
            <w:shd w:val="clear" w:color="auto" w:fill="auto"/>
          </w:tcPr>
          <w:p w14:paraId="2ABFE30D" w14:textId="77777777" w:rsidR="0036233F" w:rsidRPr="00321CBD" w:rsidRDefault="0036233F" w:rsidP="0036233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4"/>
                <w:szCs w:val="24"/>
                <w:lang w:val="lv-LV"/>
              </w:rPr>
            </w:pPr>
            <w:r w:rsidRPr="00321CBD">
              <w:rPr>
                <w:rFonts w:ascii="Times New Roman" w:hAnsi="Times New Roman" w:cs="Times New Roman"/>
                <w:b/>
                <w:color w:val="auto"/>
                <w:sz w:val="24"/>
                <w:szCs w:val="24"/>
                <w:lang w:val="lv-LV"/>
              </w:rPr>
              <w:t>Virs 55 gadiem</w:t>
            </w:r>
          </w:p>
        </w:tc>
      </w:tr>
      <w:tr w:rsidR="00773A47" w:rsidRPr="00321CBD" w14:paraId="79FFA799" w14:textId="77777777" w:rsidTr="00773A47">
        <w:tc>
          <w:tcPr>
            <w:cnfStyle w:val="001000000000" w:firstRow="0" w:lastRow="0" w:firstColumn="1" w:lastColumn="0" w:oddVBand="0" w:evenVBand="0" w:oddHBand="0" w:evenHBand="0" w:firstRowFirstColumn="0" w:firstRowLastColumn="0" w:lastRowFirstColumn="0" w:lastRowLastColumn="0"/>
            <w:tcW w:w="1603" w:type="dxa"/>
            <w:tcBorders>
              <w:top w:val="nil"/>
              <w:bottom w:val="single" w:sz="18" w:space="0" w:color="009900"/>
            </w:tcBorders>
          </w:tcPr>
          <w:p w14:paraId="3966E45B" w14:textId="77777777" w:rsidR="000F4C72" w:rsidRPr="00321CBD" w:rsidRDefault="0036233F" w:rsidP="009376AC">
            <w:pPr>
              <w:spacing w:line="360" w:lineRule="auto"/>
              <w:jc w:val="center"/>
              <w:rPr>
                <w:rFonts w:ascii="Times New Roman" w:hAnsi="Times New Roman" w:cs="Times New Roman"/>
                <w:b w:val="0"/>
                <w:color w:val="auto"/>
                <w:sz w:val="24"/>
                <w:szCs w:val="24"/>
                <w:lang w:val="lv-LV"/>
              </w:rPr>
            </w:pPr>
            <w:r w:rsidRPr="00321CBD">
              <w:rPr>
                <w:rFonts w:ascii="Times New Roman" w:hAnsi="Times New Roman" w:cs="Times New Roman"/>
                <w:b w:val="0"/>
                <w:color w:val="auto"/>
                <w:sz w:val="24"/>
                <w:szCs w:val="24"/>
                <w:lang w:val="lv-LV"/>
              </w:rPr>
              <w:t>97</w:t>
            </w:r>
          </w:p>
        </w:tc>
        <w:tc>
          <w:tcPr>
            <w:tcW w:w="1603" w:type="dxa"/>
            <w:tcBorders>
              <w:top w:val="nil"/>
              <w:bottom w:val="single" w:sz="18" w:space="0" w:color="009900"/>
              <w:right w:val="nil"/>
            </w:tcBorders>
            <w:shd w:val="clear" w:color="auto" w:fill="auto"/>
          </w:tcPr>
          <w:p w14:paraId="3B53552B" w14:textId="77777777" w:rsidR="000F4C72" w:rsidRPr="00321CBD" w:rsidRDefault="0036233F" w:rsidP="009376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56,4%</w:t>
            </w:r>
          </w:p>
        </w:tc>
        <w:tc>
          <w:tcPr>
            <w:tcW w:w="1603" w:type="dxa"/>
            <w:tcBorders>
              <w:top w:val="nil"/>
              <w:left w:val="nil"/>
              <w:bottom w:val="single" w:sz="18" w:space="0" w:color="009900"/>
            </w:tcBorders>
          </w:tcPr>
          <w:p w14:paraId="06F731DC" w14:textId="77777777" w:rsidR="000F4C72" w:rsidRPr="00321CBD" w:rsidRDefault="0036233F" w:rsidP="009376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55</w:t>
            </w:r>
          </w:p>
        </w:tc>
        <w:tc>
          <w:tcPr>
            <w:tcW w:w="1603" w:type="dxa"/>
            <w:tcBorders>
              <w:top w:val="nil"/>
              <w:bottom w:val="single" w:sz="18" w:space="0" w:color="009900"/>
              <w:right w:val="nil"/>
            </w:tcBorders>
          </w:tcPr>
          <w:p w14:paraId="5440733A" w14:textId="77777777" w:rsidR="000F4C72" w:rsidRPr="00321CBD" w:rsidRDefault="0036233F" w:rsidP="009376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32%</w:t>
            </w:r>
          </w:p>
        </w:tc>
        <w:tc>
          <w:tcPr>
            <w:tcW w:w="1604" w:type="dxa"/>
            <w:tcBorders>
              <w:top w:val="nil"/>
              <w:left w:val="nil"/>
              <w:bottom w:val="single" w:sz="18" w:space="0" w:color="009900"/>
            </w:tcBorders>
          </w:tcPr>
          <w:p w14:paraId="47915BA6" w14:textId="77777777" w:rsidR="000F4C72" w:rsidRPr="00321CBD" w:rsidRDefault="0036233F" w:rsidP="009376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20</w:t>
            </w:r>
          </w:p>
        </w:tc>
        <w:tc>
          <w:tcPr>
            <w:tcW w:w="1604" w:type="dxa"/>
            <w:tcBorders>
              <w:top w:val="nil"/>
              <w:bottom w:val="single" w:sz="18" w:space="0" w:color="009900"/>
              <w:right w:val="nil"/>
            </w:tcBorders>
          </w:tcPr>
          <w:p w14:paraId="2E75D881" w14:textId="77777777" w:rsidR="000F4C72" w:rsidRPr="00321CBD" w:rsidRDefault="0036233F" w:rsidP="009376A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v-LV"/>
              </w:rPr>
            </w:pPr>
            <w:r w:rsidRPr="00321CBD">
              <w:rPr>
                <w:rFonts w:ascii="Times New Roman" w:hAnsi="Times New Roman" w:cs="Times New Roman"/>
                <w:color w:val="auto"/>
                <w:sz w:val="24"/>
                <w:szCs w:val="24"/>
                <w:lang w:val="lv-LV"/>
              </w:rPr>
              <w:t>11,6%</w:t>
            </w:r>
          </w:p>
        </w:tc>
      </w:tr>
    </w:tbl>
    <w:p w14:paraId="5FCD9782" w14:textId="77777777" w:rsidR="00D006E8" w:rsidRPr="00321CBD" w:rsidRDefault="0017372A" w:rsidP="0069042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 </w:t>
      </w:r>
    </w:p>
    <w:p w14:paraId="6D3A4B0A" w14:textId="4F7D0261" w:rsidR="0069042A" w:rsidRPr="00321CBD" w:rsidRDefault="00600815"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39 no visām pacientēm</w:t>
      </w:r>
      <w:r>
        <w:rPr>
          <w:rFonts w:ascii="Times New Roman" w:hAnsi="Times New Roman" w:cs="Times New Roman"/>
          <w:sz w:val="24"/>
          <w:szCs w:val="24"/>
          <w:lang w:val="lv-LV"/>
        </w:rPr>
        <w:t xml:space="preserve"> bija me</w:t>
      </w:r>
      <w:r w:rsidR="00072E7B">
        <w:rPr>
          <w:rFonts w:ascii="Times New Roman" w:hAnsi="Times New Roman" w:cs="Times New Roman"/>
          <w:sz w:val="24"/>
          <w:szCs w:val="24"/>
          <w:lang w:val="lv-LV"/>
        </w:rPr>
        <w:t>nopauzē</w:t>
      </w:r>
      <w:r w:rsidR="00D73360" w:rsidRPr="00321CBD">
        <w:rPr>
          <w:rFonts w:ascii="Times New Roman" w:hAnsi="Times New Roman" w:cs="Times New Roman"/>
          <w:sz w:val="24"/>
          <w:szCs w:val="24"/>
          <w:lang w:val="lv-LV"/>
        </w:rPr>
        <w:t xml:space="preserve"> (22,7%). Minimālais vecums sievietei menopauzē dotajā pētījumā bija 50 gadi. Visv</w:t>
      </w:r>
      <w:r w:rsidR="006F0963">
        <w:rPr>
          <w:rFonts w:ascii="Times New Roman" w:hAnsi="Times New Roman" w:cs="Times New Roman"/>
          <w:sz w:val="24"/>
          <w:szCs w:val="24"/>
          <w:lang w:val="lv-LV"/>
        </w:rPr>
        <w:t>e</w:t>
      </w:r>
      <w:r w:rsidR="00D73360" w:rsidRPr="00321CBD">
        <w:rPr>
          <w:rFonts w:ascii="Times New Roman" w:hAnsi="Times New Roman" w:cs="Times New Roman"/>
          <w:sz w:val="24"/>
          <w:szCs w:val="24"/>
          <w:lang w:val="lv-LV"/>
        </w:rPr>
        <w:t>cāk</w:t>
      </w:r>
      <w:r w:rsidR="006F0963">
        <w:rPr>
          <w:rFonts w:ascii="Times New Roman" w:hAnsi="Times New Roman" w:cs="Times New Roman"/>
          <w:sz w:val="24"/>
          <w:szCs w:val="24"/>
          <w:lang w:val="lv-LV"/>
        </w:rPr>
        <w:t>aj</w:t>
      </w:r>
      <w:r w:rsidR="00D73360" w:rsidRPr="00321CBD">
        <w:rPr>
          <w:rFonts w:ascii="Times New Roman" w:hAnsi="Times New Roman" w:cs="Times New Roman"/>
          <w:sz w:val="24"/>
          <w:szCs w:val="24"/>
          <w:lang w:val="lv-LV"/>
        </w:rPr>
        <w:t>ai pacientei bija 76 gadi, un vidējais pacientes vecums menopauzē ir 57,26 gadi. Reproduktīva vecuma sievietes (t.i. kur</w:t>
      </w:r>
      <w:r w:rsidR="009F2BE0">
        <w:rPr>
          <w:rFonts w:ascii="Times New Roman" w:hAnsi="Times New Roman" w:cs="Times New Roman"/>
          <w:sz w:val="24"/>
          <w:szCs w:val="24"/>
          <w:lang w:val="lv-LV"/>
        </w:rPr>
        <w:t>ā</w:t>
      </w:r>
      <w:r w:rsidR="00D73360" w:rsidRPr="00321CBD">
        <w:rPr>
          <w:rFonts w:ascii="Times New Roman" w:hAnsi="Times New Roman" w:cs="Times New Roman"/>
          <w:sz w:val="24"/>
          <w:szCs w:val="24"/>
          <w:lang w:val="lv-LV"/>
        </w:rPr>
        <w:t>m nebija iestājusies menopauze) sastād</w:t>
      </w:r>
      <w:r w:rsidR="006F0963">
        <w:rPr>
          <w:rFonts w:ascii="Times New Roman" w:hAnsi="Times New Roman" w:cs="Times New Roman"/>
          <w:sz w:val="24"/>
          <w:szCs w:val="24"/>
          <w:lang w:val="lv-LV"/>
        </w:rPr>
        <w:t>ī</w:t>
      </w:r>
      <w:r w:rsidR="00D73360" w:rsidRPr="00321CBD">
        <w:rPr>
          <w:rFonts w:ascii="Times New Roman" w:hAnsi="Times New Roman" w:cs="Times New Roman"/>
          <w:sz w:val="24"/>
          <w:szCs w:val="24"/>
          <w:lang w:val="lv-LV"/>
        </w:rPr>
        <w:t xml:space="preserve">ja 77,3% (133 sievietes). </w:t>
      </w:r>
      <w:r w:rsidR="009C1B0B" w:rsidRPr="00321CBD">
        <w:rPr>
          <w:rFonts w:ascii="Times New Roman" w:hAnsi="Times New Roman" w:cs="Times New Roman"/>
          <w:sz w:val="24"/>
          <w:szCs w:val="24"/>
          <w:lang w:val="lv-LV"/>
        </w:rPr>
        <w:t xml:space="preserve">Vidējais reproduktīvais vecums pacientēm bija 40,69 gadi. Jaunākajai pacientei bija 23 </w:t>
      </w:r>
      <w:r w:rsidR="005517D8">
        <w:rPr>
          <w:rFonts w:ascii="Times New Roman" w:hAnsi="Times New Roman" w:cs="Times New Roman"/>
          <w:sz w:val="24"/>
          <w:szCs w:val="24"/>
          <w:lang w:val="lv-LV"/>
        </w:rPr>
        <w:t>gadi, bet vecākai pacientei, kurai</w:t>
      </w:r>
      <w:r w:rsidR="009C1B0B" w:rsidRPr="00321CBD">
        <w:rPr>
          <w:rFonts w:ascii="Times New Roman" w:hAnsi="Times New Roman" w:cs="Times New Roman"/>
          <w:sz w:val="24"/>
          <w:szCs w:val="24"/>
          <w:lang w:val="lv-LV"/>
        </w:rPr>
        <w:t xml:space="preserve"> bija regulāras mēnešreizes</w:t>
      </w:r>
      <w:r w:rsidR="009F2BE0">
        <w:rPr>
          <w:rFonts w:ascii="Times New Roman" w:hAnsi="Times New Roman" w:cs="Times New Roman"/>
          <w:sz w:val="24"/>
          <w:szCs w:val="24"/>
          <w:lang w:val="lv-LV"/>
        </w:rPr>
        <w:t>,</w:t>
      </w:r>
      <w:r w:rsidR="009C1B0B" w:rsidRPr="00321CBD">
        <w:rPr>
          <w:rFonts w:ascii="Times New Roman" w:hAnsi="Times New Roman" w:cs="Times New Roman"/>
          <w:sz w:val="24"/>
          <w:szCs w:val="24"/>
          <w:lang w:val="lv-LV"/>
        </w:rPr>
        <w:t xml:space="preserve"> 56 gadi.</w:t>
      </w:r>
    </w:p>
    <w:p w14:paraId="705D9F4A" w14:textId="5FD7B909" w:rsidR="009C1B0B" w:rsidRPr="00321CBD" w:rsidRDefault="009C1B0B" w:rsidP="008A17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Pacienšu antropometrisk</w:t>
      </w:r>
      <w:r w:rsidR="006F0963">
        <w:rPr>
          <w:rFonts w:ascii="Times New Roman" w:hAnsi="Times New Roman" w:cs="Times New Roman"/>
          <w:i/>
          <w:sz w:val="24"/>
          <w:szCs w:val="24"/>
          <w:lang w:val="lv-LV"/>
        </w:rPr>
        <w:t>o</w:t>
      </w:r>
      <w:r w:rsidR="00F426A4">
        <w:rPr>
          <w:rFonts w:ascii="Times New Roman" w:hAnsi="Times New Roman" w:cs="Times New Roman"/>
          <w:i/>
          <w:sz w:val="24"/>
          <w:szCs w:val="24"/>
          <w:lang w:val="lv-LV"/>
        </w:rPr>
        <w:t xml:space="preserve"> rā</w:t>
      </w:r>
      <w:r w:rsidRPr="00321CBD">
        <w:rPr>
          <w:rFonts w:ascii="Times New Roman" w:hAnsi="Times New Roman" w:cs="Times New Roman"/>
          <w:i/>
          <w:sz w:val="24"/>
          <w:szCs w:val="24"/>
          <w:lang w:val="lv-LV"/>
        </w:rPr>
        <w:t>dītāju analīze</w:t>
      </w:r>
    </w:p>
    <w:p w14:paraId="52B4C002" w14:textId="7B6A15C7" w:rsidR="00785585" w:rsidRPr="00321CBD" w:rsidRDefault="009C1B0B"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Lai pārbaudītu saistību starp patoloģisku dzemdes asiņošanu un pacient</w:t>
      </w:r>
      <w:r w:rsidR="006F0963">
        <w:rPr>
          <w:rFonts w:ascii="Times New Roman" w:hAnsi="Times New Roman" w:cs="Times New Roman"/>
          <w:sz w:val="24"/>
          <w:szCs w:val="24"/>
          <w:lang w:val="lv-LV"/>
        </w:rPr>
        <w:t>es</w:t>
      </w:r>
      <w:r w:rsidRPr="00321CBD">
        <w:rPr>
          <w:rFonts w:ascii="Times New Roman" w:hAnsi="Times New Roman" w:cs="Times New Roman"/>
          <w:sz w:val="24"/>
          <w:szCs w:val="24"/>
          <w:lang w:val="lv-LV"/>
        </w:rPr>
        <w:t xml:space="preserve"> palielinātu svaru, tika izrēķināts pacientes </w:t>
      </w:r>
      <w:r w:rsidR="006F0963">
        <w:rPr>
          <w:rFonts w:ascii="Times New Roman" w:hAnsi="Times New Roman" w:cs="Times New Roman"/>
          <w:sz w:val="24"/>
          <w:szCs w:val="24"/>
          <w:lang w:val="lv-LV"/>
        </w:rPr>
        <w:t>ķ</w:t>
      </w:r>
      <w:r w:rsidRPr="00321CBD">
        <w:rPr>
          <w:rFonts w:ascii="Times New Roman" w:hAnsi="Times New Roman" w:cs="Times New Roman"/>
          <w:sz w:val="24"/>
          <w:szCs w:val="24"/>
          <w:lang w:val="lv-LV"/>
        </w:rPr>
        <w:t>ermeņa masas indeks</w:t>
      </w:r>
      <w:r w:rsidR="006F0963">
        <w:rPr>
          <w:rFonts w:ascii="Times New Roman" w:hAnsi="Times New Roman" w:cs="Times New Roman"/>
          <w:sz w:val="24"/>
          <w:szCs w:val="24"/>
          <w:lang w:val="lv-LV"/>
        </w:rPr>
        <w:t xml:space="preserve">s </w:t>
      </w:r>
      <w:r w:rsidRPr="00321CBD">
        <w:rPr>
          <w:rFonts w:ascii="Times New Roman" w:hAnsi="Times New Roman" w:cs="Times New Roman"/>
          <w:sz w:val="24"/>
          <w:szCs w:val="24"/>
          <w:lang w:val="lv-LV"/>
        </w:rPr>
        <w:t>(</w:t>
      </w:r>
      <w:r w:rsidR="006F0963">
        <w:rPr>
          <w:rFonts w:ascii="Times New Roman" w:hAnsi="Times New Roman" w:cs="Times New Roman"/>
          <w:sz w:val="24"/>
          <w:szCs w:val="24"/>
          <w:lang w:val="lv-LV"/>
        </w:rPr>
        <w:t>Ķ</w:t>
      </w:r>
      <w:r w:rsidRPr="00321CBD">
        <w:rPr>
          <w:rFonts w:ascii="Times New Roman" w:hAnsi="Times New Roman" w:cs="Times New Roman"/>
          <w:sz w:val="24"/>
          <w:szCs w:val="24"/>
          <w:lang w:val="lv-LV"/>
        </w:rPr>
        <w:t xml:space="preserve">MI). Pacientes </w:t>
      </w:r>
      <w:r w:rsidR="006B394C" w:rsidRPr="00321CBD">
        <w:rPr>
          <w:rFonts w:ascii="Times New Roman" w:hAnsi="Times New Roman" w:cs="Times New Roman"/>
          <w:sz w:val="24"/>
          <w:szCs w:val="24"/>
          <w:lang w:val="lv-LV"/>
        </w:rPr>
        <w:t xml:space="preserve">pēc </w:t>
      </w:r>
      <w:r w:rsidR="006F0963">
        <w:rPr>
          <w:rFonts w:ascii="Times New Roman" w:hAnsi="Times New Roman" w:cs="Times New Roman"/>
          <w:sz w:val="24"/>
          <w:szCs w:val="24"/>
          <w:lang w:val="lv-LV"/>
        </w:rPr>
        <w:t>Ķ</w:t>
      </w:r>
      <w:r w:rsidR="006B394C" w:rsidRPr="00321CBD">
        <w:rPr>
          <w:rFonts w:ascii="Times New Roman" w:hAnsi="Times New Roman" w:cs="Times New Roman"/>
          <w:sz w:val="24"/>
          <w:szCs w:val="24"/>
          <w:lang w:val="lv-LV"/>
        </w:rPr>
        <w:t>MI</w:t>
      </w:r>
      <w:r w:rsidR="00715BB8" w:rsidRPr="00321CBD">
        <w:rPr>
          <w:rFonts w:ascii="Times New Roman" w:hAnsi="Times New Roman" w:cs="Times New Roman"/>
          <w:sz w:val="24"/>
          <w:szCs w:val="24"/>
          <w:lang w:val="lv-LV"/>
        </w:rPr>
        <w:t xml:space="preserve"> bija sadal</w:t>
      </w:r>
      <w:r w:rsidR="006F0963">
        <w:rPr>
          <w:rFonts w:ascii="Times New Roman" w:hAnsi="Times New Roman" w:cs="Times New Roman"/>
          <w:sz w:val="24"/>
          <w:szCs w:val="24"/>
          <w:lang w:val="lv-LV"/>
        </w:rPr>
        <w:t>ī</w:t>
      </w:r>
      <w:r w:rsidR="00715BB8" w:rsidRPr="00321CBD">
        <w:rPr>
          <w:rFonts w:ascii="Times New Roman" w:hAnsi="Times New Roman" w:cs="Times New Roman"/>
          <w:sz w:val="24"/>
          <w:szCs w:val="24"/>
          <w:lang w:val="lv-LV"/>
        </w:rPr>
        <w:t>t</w:t>
      </w:r>
      <w:r w:rsidR="006F0963">
        <w:rPr>
          <w:rFonts w:ascii="Times New Roman" w:hAnsi="Times New Roman" w:cs="Times New Roman"/>
          <w:sz w:val="24"/>
          <w:szCs w:val="24"/>
          <w:lang w:val="lv-LV"/>
        </w:rPr>
        <w:t>ā</w:t>
      </w:r>
      <w:r w:rsidR="006B394C" w:rsidRPr="00321CBD">
        <w:rPr>
          <w:rFonts w:ascii="Times New Roman" w:hAnsi="Times New Roman" w:cs="Times New Roman"/>
          <w:sz w:val="24"/>
          <w:szCs w:val="24"/>
          <w:lang w:val="lv-LV"/>
        </w:rPr>
        <w:t>s</w:t>
      </w:r>
      <w:r w:rsidR="00715BB8" w:rsidRPr="00321CBD">
        <w:rPr>
          <w:rFonts w:ascii="Times New Roman" w:hAnsi="Times New Roman" w:cs="Times New Roman"/>
          <w:sz w:val="24"/>
          <w:szCs w:val="24"/>
          <w:lang w:val="lv-LV"/>
        </w:rPr>
        <w:t xml:space="preserve"> divās grupās: 1. </w:t>
      </w:r>
      <w:r w:rsidR="006F0963">
        <w:rPr>
          <w:rFonts w:ascii="Times New Roman" w:hAnsi="Times New Roman" w:cs="Times New Roman"/>
          <w:sz w:val="24"/>
          <w:szCs w:val="24"/>
          <w:lang w:val="lv-LV"/>
        </w:rPr>
        <w:t>ar n</w:t>
      </w:r>
      <w:r w:rsidR="00715BB8" w:rsidRPr="00321CBD">
        <w:rPr>
          <w:rFonts w:ascii="Times New Roman" w:hAnsi="Times New Roman" w:cs="Times New Roman"/>
          <w:sz w:val="24"/>
          <w:szCs w:val="24"/>
          <w:lang w:val="lv-LV"/>
        </w:rPr>
        <w:t>epalielināt</w:t>
      </w:r>
      <w:r w:rsidR="006F0963">
        <w:rPr>
          <w:rFonts w:ascii="Times New Roman" w:hAnsi="Times New Roman" w:cs="Times New Roman"/>
          <w:sz w:val="24"/>
          <w:szCs w:val="24"/>
          <w:lang w:val="lv-LV"/>
        </w:rPr>
        <w:t>u</w:t>
      </w:r>
      <w:r w:rsidR="00715BB8" w:rsidRPr="00321CBD">
        <w:rPr>
          <w:rFonts w:ascii="Times New Roman" w:hAnsi="Times New Roman" w:cs="Times New Roman"/>
          <w:sz w:val="24"/>
          <w:szCs w:val="24"/>
          <w:lang w:val="lv-LV"/>
        </w:rPr>
        <w:t xml:space="preserve"> svar</w:t>
      </w:r>
      <w:r w:rsidR="006F0963">
        <w:rPr>
          <w:rFonts w:ascii="Times New Roman" w:hAnsi="Times New Roman" w:cs="Times New Roman"/>
          <w:sz w:val="24"/>
          <w:szCs w:val="24"/>
          <w:lang w:val="lv-LV"/>
        </w:rPr>
        <w:t>u</w:t>
      </w:r>
      <w:r w:rsidR="00715BB8" w:rsidRPr="00321CBD">
        <w:rPr>
          <w:rFonts w:ascii="Times New Roman" w:hAnsi="Times New Roman" w:cs="Times New Roman"/>
          <w:sz w:val="24"/>
          <w:szCs w:val="24"/>
          <w:lang w:val="lv-LV"/>
        </w:rPr>
        <w:t xml:space="preserve">, kur ietilpa visas pacientes ar </w:t>
      </w:r>
      <w:r w:rsidR="006F0963">
        <w:rPr>
          <w:rFonts w:ascii="Times New Roman" w:hAnsi="Times New Roman" w:cs="Times New Roman"/>
          <w:sz w:val="24"/>
          <w:szCs w:val="24"/>
          <w:lang w:val="lv-LV"/>
        </w:rPr>
        <w:t>Ķ</w:t>
      </w:r>
      <w:r w:rsidR="00715BB8" w:rsidRPr="00321CBD">
        <w:rPr>
          <w:rFonts w:ascii="Times New Roman" w:hAnsi="Times New Roman" w:cs="Times New Roman"/>
          <w:sz w:val="24"/>
          <w:szCs w:val="24"/>
          <w:lang w:val="lv-LV"/>
        </w:rPr>
        <w:t>MI līdz 25 kg/m</w:t>
      </w:r>
      <w:r w:rsidR="00715BB8" w:rsidRPr="00321CBD">
        <w:rPr>
          <w:rFonts w:ascii="Times New Roman" w:hAnsi="Times New Roman" w:cs="Times New Roman"/>
          <w:sz w:val="24"/>
          <w:szCs w:val="24"/>
          <w:vertAlign w:val="superscript"/>
          <w:lang w:val="lv-LV"/>
        </w:rPr>
        <w:t>2</w:t>
      </w:r>
      <w:r w:rsidR="00715BB8" w:rsidRPr="00321CBD">
        <w:rPr>
          <w:rFonts w:ascii="Times New Roman" w:hAnsi="Times New Roman" w:cs="Times New Roman"/>
          <w:sz w:val="24"/>
          <w:szCs w:val="24"/>
          <w:lang w:val="lv-LV"/>
        </w:rPr>
        <w:t xml:space="preserve"> </w:t>
      </w:r>
      <w:r w:rsidR="006F0963">
        <w:rPr>
          <w:rFonts w:ascii="Times New Roman" w:hAnsi="Times New Roman" w:cs="Times New Roman"/>
          <w:sz w:val="24"/>
          <w:szCs w:val="24"/>
          <w:lang w:val="lv-LV"/>
        </w:rPr>
        <w:t>(</w:t>
      </w:r>
      <w:r w:rsidR="00715BB8" w:rsidRPr="00321CBD">
        <w:rPr>
          <w:rFonts w:ascii="Times New Roman" w:hAnsi="Times New Roman" w:cs="Times New Roman"/>
          <w:sz w:val="24"/>
          <w:szCs w:val="24"/>
          <w:lang w:val="lv-LV"/>
        </w:rPr>
        <w:t>atbilstoši PVO klasifikācijai</w:t>
      </w:r>
      <w:r w:rsidR="006F0963">
        <w:rPr>
          <w:rFonts w:ascii="Times New Roman" w:hAnsi="Times New Roman" w:cs="Times New Roman"/>
          <w:sz w:val="24"/>
          <w:szCs w:val="24"/>
          <w:lang w:val="lv-LV"/>
        </w:rPr>
        <w:t>);</w:t>
      </w:r>
      <w:r w:rsidR="00715BB8" w:rsidRPr="00321CBD">
        <w:rPr>
          <w:rFonts w:ascii="Times New Roman" w:hAnsi="Times New Roman" w:cs="Times New Roman"/>
          <w:sz w:val="24"/>
          <w:szCs w:val="24"/>
          <w:lang w:val="lv-LV"/>
        </w:rPr>
        <w:t xml:space="preserve"> 2. </w:t>
      </w:r>
      <w:r w:rsidR="006F0963">
        <w:rPr>
          <w:rFonts w:ascii="Times New Roman" w:hAnsi="Times New Roman" w:cs="Times New Roman"/>
          <w:sz w:val="24"/>
          <w:szCs w:val="24"/>
          <w:lang w:val="lv-LV"/>
        </w:rPr>
        <w:t>ar palielinātu svaru</w:t>
      </w:r>
      <w:r w:rsidR="00715BB8" w:rsidRPr="00321CBD">
        <w:rPr>
          <w:rFonts w:ascii="Times New Roman" w:hAnsi="Times New Roman" w:cs="Times New Roman"/>
          <w:sz w:val="24"/>
          <w:szCs w:val="24"/>
          <w:lang w:val="lv-LV"/>
        </w:rPr>
        <w:t xml:space="preserve">, kur tika iedalītas visas pacientes ar </w:t>
      </w:r>
      <w:r w:rsidR="006F0963">
        <w:rPr>
          <w:rFonts w:ascii="Times New Roman" w:hAnsi="Times New Roman" w:cs="Times New Roman"/>
          <w:sz w:val="24"/>
          <w:szCs w:val="24"/>
          <w:lang w:val="lv-LV"/>
        </w:rPr>
        <w:t>Ķ</w:t>
      </w:r>
      <w:r w:rsidR="00715BB8" w:rsidRPr="00321CBD">
        <w:rPr>
          <w:rFonts w:ascii="Times New Roman" w:hAnsi="Times New Roman" w:cs="Times New Roman"/>
          <w:sz w:val="24"/>
          <w:szCs w:val="24"/>
          <w:lang w:val="lv-LV"/>
        </w:rPr>
        <w:t xml:space="preserve">MI </w:t>
      </w:r>
      <w:r w:rsidR="009F2BE0">
        <w:rPr>
          <w:rFonts w:ascii="Times New Roman" w:hAnsi="Times New Roman" w:cs="Times New Roman"/>
          <w:sz w:val="24"/>
          <w:szCs w:val="24"/>
          <w:lang w:val="lv-LV"/>
        </w:rPr>
        <w:t>virs</w:t>
      </w:r>
      <w:r w:rsidR="009F2BE0" w:rsidRPr="00321CBD">
        <w:rPr>
          <w:rFonts w:ascii="Times New Roman" w:hAnsi="Times New Roman" w:cs="Times New Roman"/>
          <w:sz w:val="24"/>
          <w:szCs w:val="24"/>
          <w:lang w:val="lv-LV"/>
        </w:rPr>
        <w:t xml:space="preserve"> </w:t>
      </w:r>
      <w:r w:rsidR="00715BB8" w:rsidRPr="00321CBD">
        <w:rPr>
          <w:rFonts w:ascii="Times New Roman" w:hAnsi="Times New Roman" w:cs="Times New Roman"/>
          <w:sz w:val="24"/>
          <w:szCs w:val="24"/>
          <w:lang w:val="lv-LV"/>
        </w:rPr>
        <w:t>25 kg/m</w:t>
      </w:r>
      <w:r w:rsidR="00715BB8" w:rsidRPr="00321CBD">
        <w:rPr>
          <w:rFonts w:ascii="Times New Roman" w:hAnsi="Times New Roman" w:cs="Times New Roman"/>
          <w:sz w:val="24"/>
          <w:szCs w:val="24"/>
          <w:vertAlign w:val="superscript"/>
          <w:lang w:val="lv-LV"/>
        </w:rPr>
        <w:t>2</w:t>
      </w:r>
      <w:r w:rsidR="00715BB8" w:rsidRPr="00321CBD">
        <w:rPr>
          <w:rFonts w:ascii="Times New Roman" w:hAnsi="Times New Roman" w:cs="Times New Roman"/>
          <w:sz w:val="24"/>
          <w:szCs w:val="24"/>
          <w:lang w:val="lv-LV"/>
        </w:rPr>
        <w:t>. Šajā</w:t>
      </w:r>
      <w:r w:rsidR="006F0963">
        <w:rPr>
          <w:rFonts w:ascii="Times New Roman" w:hAnsi="Times New Roman" w:cs="Times New Roman"/>
          <w:sz w:val="24"/>
          <w:szCs w:val="24"/>
          <w:lang w:val="lv-LV"/>
        </w:rPr>
        <w:t>s</w:t>
      </w:r>
      <w:r w:rsidR="00715BB8" w:rsidRPr="00321CBD">
        <w:rPr>
          <w:rFonts w:ascii="Times New Roman" w:hAnsi="Times New Roman" w:cs="Times New Roman"/>
          <w:sz w:val="24"/>
          <w:szCs w:val="24"/>
          <w:lang w:val="lv-LV"/>
        </w:rPr>
        <w:t xml:space="preserve"> grupās pacien</w:t>
      </w:r>
      <w:r w:rsidR="006F0963">
        <w:rPr>
          <w:rFonts w:ascii="Times New Roman" w:hAnsi="Times New Roman" w:cs="Times New Roman"/>
          <w:sz w:val="24"/>
          <w:szCs w:val="24"/>
          <w:lang w:val="lv-LV"/>
        </w:rPr>
        <w:t>š</w:t>
      </w:r>
      <w:r w:rsidR="00715BB8" w:rsidRPr="00321CBD">
        <w:rPr>
          <w:rFonts w:ascii="Times New Roman" w:hAnsi="Times New Roman" w:cs="Times New Roman"/>
          <w:sz w:val="24"/>
          <w:szCs w:val="24"/>
          <w:lang w:val="lv-LV"/>
        </w:rPr>
        <w:t xml:space="preserve">u iedalījums bija gandrīz vienāds. Pirmajā grupā ar normālu vai samazinātu svaru pēc PVO bija 85 sievietes (49,4%), otrajā grupā ar palielinātu svaru vai dažādas klases </w:t>
      </w:r>
      <w:r w:rsidR="00715BB8" w:rsidRPr="00321CBD">
        <w:rPr>
          <w:rFonts w:ascii="Times New Roman" w:hAnsi="Times New Roman" w:cs="Times New Roman"/>
          <w:sz w:val="24"/>
          <w:szCs w:val="24"/>
          <w:lang w:val="lv-LV"/>
        </w:rPr>
        <w:lastRenderedPageBreak/>
        <w:t xml:space="preserve">adipozitāti 87 sievietes (50,6%). Pacienšu sadalījums pēc </w:t>
      </w:r>
      <w:r w:rsidR="0036460B">
        <w:rPr>
          <w:rFonts w:ascii="Times New Roman" w:hAnsi="Times New Roman" w:cs="Times New Roman"/>
          <w:sz w:val="24"/>
          <w:szCs w:val="24"/>
          <w:lang w:val="lv-LV"/>
        </w:rPr>
        <w:t>Ķ</w:t>
      </w:r>
      <w:r w:rsidR="00715BB8" w:rsidRPr="00321CBD">
        <w:rPr>
          <w:rFonts w:ascii="Times New Roman" w:hAnsi="Times New Roman" w:cs="Times New Roman"/>
          <w:sz w:val="24"/>
          <w:szCs w:val="24"/>
          <w:lang w:val="lv-LV"/>
        </w:rPr>
        <w:t>MI Pasaules veselības organizāc</w:t>
      </w:r>
      <w:r w:rsidR="0036460B">
        <w:rPr>
          <w:rFonts w:ascii="Times New Roman" w:hAnsi="Times New Roman" w:cs="Times New Roman"/>
          <w:sz w:val="24"/>
          <w:szCs w:val="24"/>
          <w:lang w:val="lv-LV"/>
        </w:rPr>
        <w:t>i</w:t>
      </w:r>
      <w:r w:rsidR="00715BB8" w:rsidRPr="00321CBD">
        <w:rPr>
          <w:rFonts w:ascii="Times New Roman" w:hAnsi="Times New Roman" w:cs="Times New Roman"/>
          <w:sz w:val="24"/>
          <w:szCs w:val="24"/>
          <w:lang w:val="lv-LV"/>
        </w:rPr>
        <w:t>jas klasēm ir parādīts Grafikā 1.</w:t>
      </w:r>
    </w:p>
    <w:p w14:paraId="7B36FCBE" w14:textId="77777777" w:rsidR="00715BB8" w:rsidRPr="00321CBD" w:rsidRDefault="00BC5DB0"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54CBF045" wp14:editId="2ECD743D">
                <wp:simplePos x="0" y="0"/>
                <wp:positionH relativeFrom="column">
                  <wp:posOffset>61595</wp:posOffset>
                </wp:positionH>
                <wp:positionV relativeFrom="paragraph">
                  <wp:posOffset>3130550</wp:posOffset>
                </wp:positionV>
                <wp:extent cx="5495925" cy="276225"/>
                <wp:effectExtent l="0" t="0" r="9525" b="9525"/>
                <wp:wrapNone/>
                <wp:docPr id="7" name="Text Box 7"/>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1BC56431" w14:textId="3C76C6D2" w:rsidR="00090782" w:rsidRPr="006B394C" w:rsidRDefault="00090782" w:rsidP="00BC5DB0">
                            <w:pPr>
                              <w:pBdr>
                                <w:top w:val="single" w:sz="4" w:space="1" w:color="009900"/>
                              </w:pBdr>
                              <w:rPr>
                                <w:b/>
                                <w:lang w:val="lv-LV"/>
                              </w:rPr>
                            </w:pPr>
                            <w:r>
                              <w:rPr>
                                <w:b/>
                                <w:lang w:val="lv-LV"/>
                              </w:rPr>
                              <w:t>Grafiks 1. Pacienš</w:t>
                            </w:r>
                            <w:r w:rsidRPr="006B394C">
                              <w:rPr>
                                <w:b/>
                                <w:lang w:val="lv-LV"/>
                              </w:rPr>
                              <w:t xml:space="preserve">u </w:t>
                            </w:r>
                            <w:r>
                              <w:rPr>
                                <w:b/>
                                <w:lang w:val="lv-LV"/>
                              </w:rPr>
                              <w:t xml:space="preserve">ĶMI </w:t>
                            </w:r>
                            <w:r w:rsidRPr="006B394C">
                              <w:rPr>
                                <w:b/>
                                <w:lang w:val="lv-LV"/>
                              </w:rPr>
                              <w:t>sadalījums pēc PVO krītērījiem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8" type="#_x0000_t202" style="position:absolute;left:0;text-align:left;margin-left:4.85pt;margin-top:246.5pt;width:432.7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" fillcolor="white [3201]" stroked="f" strokeweight=".25pt">
                <v:textbox>
                  <w:txbxContent>
                    <w:p w14:paraId="1BC56431" w14:textId="3C76C6D2" w:rsidR="00C717B0" w:rsidRPr="006B394C" w:rsidRDefault="00C717B0" w:rsidP="00BC5DB0">
                      <w:pPr>
                        <w:pBdr>
                          <w:top w:val="single" w:sz="4" w:space="1" w:color="009900"/>
                        </w:pBdr>
                        <w:rPr>
                          <w:b/>
                          <w:lang w:val="lv-LV"/>
                        </w:rPr>
                      </w:pPr>
                      <w:r>
                        <w:rPr>
                          <w:b/>
                          <w:lang w:val="lv-LV"/>
                        </w:rPr>
                        <w:t>Grafiks 1. Pacienš</w:t>
                      </w:r>
                      <w:r w:rsidRPr="006B394C">
                        <w:rPr>
                          <w:b/>
                          <w:lang w:val="lv-LV"/>
                        </w:rPr>
                        <w:t xml:space="preserve">u </w:t>
                      </w:r>
                      <w:r>
                        <w:rPr>
                          <w:b/>
                          <w:lang w:val="lv-LV"/>
                        </w:rPr>
                        <w:t xml:space="preserve">ĶMI </w:t>
                      </w:r>
                      <w:r w:rsidRPr="006B394C">
                        <w:rPr>
                          <w:b/>
                          <w:lang w:val="lv-LV"/>
                        </w:rPr>
                        <w:t>sadalījums pēc PVO krītērījiem</w:t>
                      </w:r>
                    </w:p>
                  </w:txbxContent>
                </v:textbox>
              </v:shape>
            </w:pict>
          </mc:Fallback>
        </mc:AlternateContent>
      </w:r>
      <w:r w:rsidR="00715BB8" w:rsidRPr="00321CBD">
        <w:rPr>
          <w:rFonts w:ascii="Times New Roman" w:hAnsi="Times New Roman" w:cs="Times New Roman"/>
          <w:noProof/>
          <w:sz w:val="24"/>
          <w:szCs w:val="24"/>
        </w:rPr>
        <w:drawing>
          <wp:inline distT="0" distB="0" distL="0" distR="0" wp14:anchorId="1AF11497" wp14:editId="2DAFA2D3">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8AF412" w14:textId="77777777" w:rsidR="00785585" w:rsidRPr="00321CBD" w:rsidRDefault="00785585" w:rsidP="008A1720">
      <w:pPr>
        <w:spacing w:line="360" w:lineRule="auto"/>
        <w:jc w:val="both"/>
        <w:rPr>
          <w:rFonts w:ascii="Times New Roman" w:hAnsi="Times New Roman" w:cs="Times New Roman"/>
          <w:b/>
          <w:sz w:val="24"/>
          <w:szCs w:val="24"/>
          <w:lang w:val="lv-LV"/>
        </w:rPr>
      </w:pPr>
    </w:p>
    <w:p w14:paraId="78C21181" w14:textId="33B63FAE" w:rsidR="00BC5DB0" w:rsidRPr="00321CBD" w:rsidRDefault="006B394C" w:rsidP="008A17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Pacien</w:t>
      </w:r>
      <w:r w:rsidR="003B2AD2">
        <w:rPr>
          <w:rFonts w:ascii="Times New Roman" w:hAnsi="Times New Roman" w:cs="Times New Roman"/>
          <w:i/>
          <w:sz w:val="24"/>
          <w:szCs w:val="24"/>
          <w:lang w:val="lv-LV"/>
        </w:rPr>
        <w:t>š</w:t>
      </w:r>
      <w:r w:rsidRPr="00321CBD">
        <w:rPr>
          <w:rFonts w:ascii="Times New Roman" w:hAnsi="Times New Roman" w:cs="Times New Roman"/>
          <w:i/>
          <w:sz w:val="24"/>
          <w:szCs w:val="24"/>
          <w:lang w:val="lv-LV"/>
        </w:rPr>
        <w:t>u sūdzību un</w:t>
      </w:r>
      <w:r w:rsidR="009F2BE0">
        <w:rPr>
          <w:rFonts w:ascii="Times New Roman" w:hAnsi="Times New Roman" w:cs="Times New Roman"/>
          <w:i/>
          <w:sz w:val="24"/>
          <w:szCs w:val="24"/>
          <w:lang w:val="lv-LV"/>
        </w:rPr>
        <w:t xml:space="preserve"> sūdzību</w:t>
      </w:r>
      <w:r w:rsidRPr="00321CBD">
        <w:rPr>
          <w:rFonts w:ascii="Times New Roman" w:hAnsi="Times New Roman" w:cs="Times New Roman"/>
          <w:i/>
          <w:sz w:val="24"/>
          <w:szCs w:val="24"/>
          <w:lang w:val="lv-LV"/>
        </w:rPr>
        <w:t xml:space="preserve"> ilguma analīze</w:t>
      </w:r>
    </w:p>
    <w:p w14:paraId="48268031" w14:textId="3AFC2CB6" w:rsidR="006B394C" w:rsidRPr="00321CBD" w:rsidRDefault="006B394C"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65,1%, jeb 112 pacientes atzīmēja dažāda rakstura sūdzības, sakarā ar kurām </w:t>
      </w:r>
      <w:r w:rsidR="00D6069E">
        <w:rPr>
          <w:rFonts w:ascii="Times New Roman" w:hAnsi="Times New Roman" w:cs="Times New Roman"/>
          <w:sz w:val="24"/>
          <w:szCs w:val="24"/>
          <w:lang w:val="lv-LV"/>
        </w:rPr>
        <w:t>viņas</w:t>
      </w:r>
      <w:r w:rsidR="00D6069E"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bija nosūtītas uz histerorezektoskopiju. Pārējām 34,9% sieviešu objektīv</w:t>
      </w:r>
      <w:r w:rsidR="009F2BE0">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sūdzību nebija un viņas tika nosūtītas uz histerorezektoskopiju sakarā ar patoloģisku atradni vizītes laikā pie ginekologa. </w:t>
      </w:r>
      <w:r w:rsidR="003A51E9" w:rsidRPr="00321CBD">
        <w:rPr>
          <w:rFonts w:ascii="Times New Roman" w:hAnsi="Times New Roman" w:cs="Times New Roman"/>
          <w:sz w:val="24"/>
          <w:szCs w:val="24"/>
          <w:lang w:val="lv-LV"/>
        </w:rPr>
        <w:t>Tabulā 2. parādīts s</w:t>
      </w:r>
      <w:r w:rsidR="00D6069E">
        <w:rPr>
          <w:rFonts w:ascii="Times New Roman" w:hAnsi="Times New Roman" w:cs="Times New Roman"/>
          <w:sz w:val="24"/>
          <w:szCs w:val="24"/>
          <w:lang w:val="lv-LV"/>
        </w:rPr>
        <w:t>ū</w:t>
      </w:r>
      <w:r w:rsidR="003A51E9" w:rsidRPr="00321CBD">
        <w:rPr>
          <w:rFonts w:ascii="Times New Roman" w:hAnsi="Times New Roman" w:cs="Times New Roman"/>
          <w:sz w:val="24"/>
          <w:szCs w:val="24"/>
          <w:lang w:val="lv-LV"/>
        </w:rPr>
        <w:t>dzību esamības sadalījums pa vecuma grupām.</w:t>
      </w:r>
    </w:p>
    <w:tbl>
      <w:tblPr>
        <w:tblStyle w:val="TableGrid"/>
        <w:tblW w:w="0" w:type="auto"/>
        <w:tblLook w:val="04A0" w:firstRow="1" w:lastRow="0" w:firstColumn="1" w:lastColumn="0" w:noHBand="0" w:noVBand="1"/>
      </w:tblPr>
      <w:tblGrid>
        <w:gridCol w:w="2405"/>
        <w:gridCol w:w="2405"/>
        <w:gridCol w:w="2405"/>
        <w:gridCol w:w="2405"/>
      </w:tblGrid>
      <w:tr w:rsidR="003A51E9" w:rsidRPr="00090782" w14:paraId="04EBA1B3" w14:textId="77777777" w:rsidTr="00773A47">
        <w:tc>
          <w:tcPr>
            <w:tcW w:w="9620" w:type="dxa"/>
            <w:gridSpan w:val="4"/>
            <w:tcBorders>
              <w:top w:val="single" w:sz="24" w:space="0" w:color="009900"/>
              <w:left w:val="nil"/>
              <w:bottom w:val="single" w:sz="24" w:space="0" w:color="009900"/>
              <w:right w:val="nil"/>
            </w:tcBorders>
          </w:tcPr>
          <w:p w14:paraId="0810BB3C" w14:textId="774C083F" w:rsidR="003A51E9" w:rsidRPr="00321CBD" w:rsidRDefault="003A51E9" w:rsidP="008A17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Tabula 2. S</w:t>
            </w:r>
            <w:r w:rsidR="00D6069E">
              <w:rPr>
                <w:rFonts w:ascii="Times New Roman" w:hAnsi="Times New Roman" w:cs="Times New Roman"/>
                <w:b/>
                <w:sz w:val="24"/>
                <w:szCs w:val="24"/>
                <w:lang w:val="lv-LV"/>
              </w:rPr>
              <w:t>ū</w:t>
            </w:r>
            <w:r w:rsidRPr="00321CBD">
              <w:rPr>
                <w:rFonts w:ascii="Times New Roman" w:hAnsi="Times New Roman" w:cs="Times New Roman"/>
                <w:b/>
                <w:sz w:val="24"/>
                <w:szCs w:val="24"/>
                <w:lang w:val="lv-LV"/>
              </w:rPr>
              <w:t>dzību esamības sadalījums pa vecuma grupām</w:t>
            </w:r>
          </w:p>
        </w:tc>
      </w:tr>
      <w:tr w:rsidR="003A51E9" w:rsidRPr="00321CBD" w14:paraId="0A5DB509" w14:textId="77777777" w:rsidTr="00773A47">
        <w:tc>
          <w:tcPr>
            <w:tcW w:w="2405" w:type="dxa"/>
            <w:tcBorders>
              <w:top w:val="single" w:sz="24" w:space="0" w:color="009900"/>
              <w:left w:val="nil"/>
              <w:bottom w:val="nil"/>
              <w:right w:val="nil"/>
            </w:tcBorders>
          </w:tcPr>
          <w:p w14:paraId="5EA70CA5" w14:textId="77777777" w:rsidR="003A51E9" w:rsidRPr="00321CBD" w:rsidRDefault="003A51E9" w:rsidP="008A1720">
            <w:pPr>
              <w:spacing w:line="360" w:lineRule="auto"/>
              <w:jc w:val="both"/>
              <w:rPr>
                <w:rFonts w:ascii="Times New Roman" w:hAnsi="Times New Roman" w:cs="Times New Roman"/>
                <w:sz w:val="24"/>
                <w:szCs w:val="24"/>
                <w:lang w:val="lv-LV"/>
              </w:rPr>
            </w:pPr>
          </w:p>
        </w:tc>
        <w:tc>
          <w:tcPr>
            <w:tcW w:w="2405" w:type="dxa"/>
            <w:tcBorders>
              <w:top w:val="single" w:sz="18" w:space="0" w:color="009900"/>
              <w:left w:val="nil"/>
              <w:bottom w:val="nil"/>
              <w:right w:val="nil"/>
            </w:tcBorders>
          </w:tcPr>
          <w:p w14:paraId="499CEDC2" w14:textId="77777777" w:rsidR="003A51E9" w:rsidRPr="00321CBD" w:rsidRDefault="003A51E9" w:rsidP="00773A47">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Līdz 45</w:t>
            </w:r>
          </w:p>
        </w:tc>
        <w:tc>
          <w:tcPr>
            <w:tcW w:w="2405" w:type="dxa"/>
            <w:tcBorders>
              <w:top w:val="single" w:sz="18" w:space="0" w:color="009900"/>
              <w:left w:val="nil"/>
              <w:bottom w:val="nil"/>
              <w:right w:val="nil"/>
            </w:tcBorders>
          </w:tcPr>
          <w:p w14:paraId="245A00D2" w14:textId="77777777" w:rsidR="003A51E9" w:rsidRPr="00321CBD" w:rsidRDefault="003A51E9" w:rsidP="00773A47">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No 46 līdz 55</w:t>
            </w:r>
          </w:p>
        </w:tc>
        <w:tc>
          <w:tcPr>
            <w:tcW w:w="2405" w:type="dxa"/>
            <w:tcBorders>
              <w:top w:val="single" w:sz="18" w:space="0" w:color="009900"/>
              <w:left w:val="nil"/>
              <w:bottom w:val="nil"/>
              <w:right w:val="nil"/>
            </w:tcBorders>
          </w:tcPr>
          <w:p w14:paraId="2BDE4DDC" w14:textId="77777777" w:rsidR="003A51E9" w:rsidRPr="00321CBD" w:rsidRDefault="003A51E9" w:rsidP="00773A47">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Virs 55</w:t>
            </w:r>
          </w:p>
        </w:tc>
      </w:tr>
      <w:tr w:rsidR="00773A47" w:rsidRPr="00321CBD" w14:paraId="26CA14AB" w14:textId="77777777" w:rsidTr="00773A47">
        <w:tc>
          <w:tcPr>
            <w:tcW w:w="2405" w:type="dxa"/>
            <w:tcBorders>
              <w:top w:val="nil"/>
              <w:left w:val="nil"/>
              <w:bottom w:val="nil"/>
              <w:right w:val="nil"/>
            </w:tcBorders>
          </w:tcPr>
          <w:p w14:paraId="47F6D204" w14:textId="3AE559B0" w:rsidR="003A51E9" w:rsidRPr="00321CBD" w:rsidRDefault="007B719D" w:rsidP="00773A47">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S</w:t>
            </w:r>
            <w:r w:rsidR="00D6069E">
              <w:rPr>
                <w:rFonts w:ascii="Times New Roman" w:hAnsi="Times New Roman" w:cs="Times New Roman"/>
                <w:b/>
                <w:sz w:val="24"/>
                <w:szCs w:val="24"/>
                <w:lang w:val="lv-LV"/>
              </w:rPr>
              <w:t>ū</w:t>
            </w:r>
            <w:r w:rsidRPr="00321CBD">
              <w:rPr>
                <w:rFonts w:ascii="Times New Roman" w:hAnsi="Times New Roman" w:cs="Times New Roman"/>
                <w:b/>
                <w:sz w:val="24"/>
                <w:szCs w:val="24"/>
                <w:lang w:val="lv-LV"/>
              </w:rPr>
              <w:t>dzību esamība</w:t>
            </w:r>
          </w:p>
        </w:tc>
        <w:tc>
          <w:tcPr>
            <w:tcW w:w="2405" w:type="dxa"/>
            <w:tcBorders>
              <w:top w:val="nil"/>
              <w:left w:val="nil"/>
              <w:bottom w:val="nil"/>
              <w:right w:val="nil"/>
            </w:tcBorders>
          </w:tcPr>
          <w:p w14:paraId="62E3C2AF" w14:textId="77777777" w:rsidR="003A51E9" w:rsidRPr="00321CBD" w:rsidRDefault="007B719D"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69 (71,1%)</w:t>
            </w:r>
          </w:p>
        </w:tc>
        <w:tc>
          <w:tcPr>
            <w:tcW w:w="2405" w:type="dxa"/>
            <w:tcBorders>
              <w:top w:val="nil"/>
              <w:left w:val="nil"/>
              <w:bottom w:val="nil"/>
              <w:right w:val="nil"/>
            </w:tcBorders>
          </w:tcPr>
          <w:p w14:paraId="56B0AE9B" w14:textId="77777777" w:rsidR="003A51E9" w:rsidRPr="00321CBD" w:rsidRDefault="007B719D"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36 (65,5%)</w:t>
            </w:r>
          </w:p>
        </w:tc>
        <w:tc>
          <w:tcPr>
            <w:tcW w:w="2405" w:type="dxa"/>
            <w:tcBorders>
              <w:top w:val="nil"/>
              <w:left w:val="nil"/>
              <w:bottom w:val="nil"/>
              <w:right w:val="nil"/>
            </w:tcBorders>
          </w:tcPr>
          <w:p w14:paraId="532753E3" w14:textId="77777777" w:rsidR="003A51E9" w:rsidRPr="00321CBD" w:rsidRDefault="007B719D"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 (</w:t>
            </w:r>
            <w:r w:rsidR="00773A47" w:rsidRPr="00321CBD">
              <w:rPr>
                <w:rFonts w:ascii="Times New Roman" w:hAnsi="Times New Roman" w:cs="Times New Roman"/>
                <w:sz w:val="24"/>
                <w:szCs w:val="24"/>
                <w:lang w:val="lv-LV"/>
              </w:rPr>
              <w:t>35%</w:t>
            </w:r>
            <w:r w:rsidRPr="00321CBD">
              <w:rPr>
                <w:rFonts w:ascii="Times New Roman" w:hAnsi="Times New Roman" w:cs="Times New Roman"/>
                <w:sz w:val="24"/>
                <w:szCs w:val="24"/>
                <w:lang w:val="lv-LV"/>
              </w:rPr>
              <w:t>)</w:t>
            </w:r>
          </w:p>
        </w:tc>
      </w:tr>
      <w:tr w:rsidR="00773A47" w:rsidRPr="00321CBD" w14:paraId="052FBA0A" w14:textId="77777777" w:rsidTr="00773A47">
        <w:tc>
          <w:tcPr>
            <w:tcW w:w="2405" w:type="dxa"/>
            <w:tcBorders>
              <w:top w:val="nil"/>
              <w:left w:val="nil"/>
              <w:bottom w:val="single" w:sz="18" w:space="0" w:color="009900"/>
              <w:right w:val="nil"/>
            </w:tcBorders>
          </w:tcPr>
          <w:p w14:paraId="3187987F" w14:textId="0BAE9812" w:rsidR="003A51E9" w:rsidRPr="00321CBD" w:rsidRDefault="007B719D" w:rsidP="00773A47">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S</w:t>
            </w:r>
            <w:r w:rsidR="00D6069E">
              <w:rPr>
                <w:rFonts w:ascii="Times New Roman" w:hAnsi="Times New Roman" w:cs="Times New Roman"/>
                <w:b/>
                <w:sz w:val="24"/>
                <w:szCs w:val="24"/>
                <w:lang w:val="lv-LV"/>
              </w:rPr>
              <w:t>ū</w:t>
            </w:r>
            <w:r w:rsidRPr="00321CBD">
              <w:rPr>
                <w:rFonts w:ascii="Times New Roman" w:hAnsi="Times New Roman" w:cs="Times New Roman"/>
                <w:b/>
                <w:sz w:val="24"/>
                <w:szCs w:val="24"/>
                <w:lang w:val="lv-LV"/>
              </w:rPr>
              <w:t>dzību neesamība</w:t>
            </w:r>
          </w:p>
        </w:tc>
        <w:tc>
          <w:tcPr>
            <w:tcW w:w="2405" w:type="dxa"/>
            <w:tcBorders>
              <w:top w:val="nil"/>
              <w:left w:val="nil"/>
              <w:bottom w:val="nil"/>
              <w:right w:val="nil"/>
            </w:tcBorders>
          </w:tcPr>
          <w:p w14:paraId="39F218B4" w14:textId="77777777" w:rsidR="003A51E9" w:rsidRPr="00321CBD" w:rsidRDefault="007B719D"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28 (28,9%)</w:t>
            </w:r>
          </w:p>
        </w:tc>
        <w:tc>
          <w:tcPr>
            <w:tcW w:w="2405" w:type="dxa"/>
            <w:tcBorders>
              <w:top w:val="nil"/>
              <w:left w:val="nil"/>
              <w:bottom w:val="nil"/>
              <w:right w:val="nil"/>
            </w:tcBorders>
          </w:tcPr>
          <w:p w14:paraId="17AA7FB2" w14:textId="77777777" w:rsidR="003A51E9" w:rsidRPr="00321CBD" w:rsidRDefault="007B719D"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19 (34,5%)</w:t>
            </w:r>
          </w:p>
        </w:tc>
        <w:tc>
          <w:tcPr>
            <w:tcW w:w="2405" w:type="dxa"/>
            <w:tcBorders>
              <w:top w:val="nil"/>
              <w:left w:val="nil"/>
              <w:bottom w:val="nil"/>
              <w:right w:val="nil"/>
            </w:tcBorders>
          </w:tcPr>
          <w:p w14:paraId="02F17C07" w14:textId="77777777" w:rsidR="003A51E9" w:rsidRPr="00321CBD" w:rsidRDefault="00773A47" w:rsidP="00773A4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13 (65%)</w:t>
            </w:r>
          </w:p>
        </w:tc>
      </w:tr>
      <w:tr w:rsidR="007B719D" w:rsidRPr="00321CBD" w14:paraId="20B33F09" w14:textId="77777777" w:rsidTr="00773A47">
        <w:tc>
          <w:tcPr>
            <w:tcW w:w="9620" w:type="dxa"/>
            <w:gridSpan w:val="4"/>
            <w:tcBorders>
              <w:top w:val="single" w:sz="18" w:space="0" w:color="009900"/>
              <w:left w:val="nil"/>
              <w:bottom w:val="nil"/>
              <w:right w:val="nil"/>
            </w:tcBorders>
          </w:tcPr>
          <w:p w14:paraId="1300CC88" w14:textId="77777777" w:rsidR="007B719D" w:rsidRPr="00321CBD" w:rsidRDefault="00773A47"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tc>
      </w:tr>
    </w:tbl>
    <w:p w14:paraId="17860B5C" w14:textId="77777777" w:rsidR="003A51E9" w:rsidRPr="00321CBD" w:rsidRDefault="003A51E9" w:rsidP="008A1720">
      <w:pPr>
        <w:spacing w:line="360" w:lineRule="auto"/>
        <w:jc w:val="both"/>
        <w:rPr>
          <w:rFonts w:ascii="Times New Roman" w:hAnsi="Times New Roman" w:cs="Times New Roman"/>
          <w:sz w:val="24"/>
          <w:szCs w:val="24"/>
          <w:lang w:val="lv-LV"/>
        </w:rPr>
      </w:pPr>
    </w:p>
    <w:p w14:paraId="0C6E8468" w14:textId="7596DE73" w:rsidR="00091238" w:rsidRPr="00321CBD" w:rsidRDefault="00B877B7"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Jaunāk</w:t>
      </w:r>
      <w:r w:rsidR="00D6069E">
        <w:rPr>
          <w:rFonts w:ascii="Times New Roman" w:hAnsi="Times New Roman" w:cs="Times New Roman"/>
          <w:sz w:val="24"/>
          <w:szCs w:val="24"/>
          <w:lang w:val="lv-LV"/>
        </w:rPr>
        <w:t>ām</w:t>
      </w:r>
      <w:r w:rsidR="00447FA5">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sievietēm biežāk novēro sūdzības,</w:t>
      </w:r>
      <w:r w:rsidR="00D6069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nekā vecākām</w:t>
      </w:r>
      <w:r w:rsidR="00091238" w:rsidRPr="00321CBD">
        <w:rPr>
          <w:rFonts w:ascii="Times New Roman" w:hAnsi="Times New Roman" w:cs="Times New Roman"/>
          <w:sz w:val="24"/>
          <w:szCs w:val="24"/>
          <w:lang w:val="lv-LV"/>
        </w:rPr>
        <w:t xml:space="preserve"> (</w:t>
      </w:r>
      <w:r w:rsidR="00091238" w:rsidRPr="00321CBD">
        <w:rPr>
          <w:rFonts w:ascii="Times New Roman" w:hAnsi="Times New Roman" w:cs="Times New Roman"/>
          <w:i/>
          <w:sz w:val="24"/>
          <w:szCs w:val="24"/>
          <w:lang w:val="lv-LV"/>
        </w:rPr>
        <w:t>p=0,009</w:t>
      </w:r>
      <w:r w:rsidR="00091238" w:rsidRPr="00321CBD">
        <w:rPr>
          <w:rFonts w:ascii="Times New Roman" w:hAnsi="Times New Roman" w:cs="Times New Roman"/>
          <w:sz w:val="24"/>
          <w:szCs w:val="24"/>
          <w:lang w:val="lv-LV"/>
        </w:rPr>
        <w:t>)</w:t>
      </w:r>
      <w:r w:rsidR="00AF340C" w:rsidRPr="00321CB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To </w:t>
      </w:r>
      <w:r w:rsidR="009F2BE0">
        <w:rPr>
          <w:rFonts w:ascii="Times New Roman" w:hAnsi="Times New Roman" w:cs="Times New Roman"/>
          <w:sz w:val="24"/>
          <w:szCs w:val="24"/>
          <w:lang w:val="lv-LV"/>
        </w:rPr>
        <w:t>var novērot</w:t>
      </w:r>
      <w:r w:rsidRPr="00321CBD">
        <w:rPr>
          <w:rFonts w:ascii="Times New Roman" w:hAnsi="Times New Roman" w:cs="Times New Roman"/>
          <w:sz w:val="24"/>
          <w:szCs w:val="24"/>
          <w:lang w:val="lv-LV"/>
        </w:rPr>
        <w:t xml:space="preserve"> salīdzinot s</w:t>
      </w:r>
      <w:r w:rsidR="00D6069E">
        <w:rPr>
          <w:rFonts w:ascii="Times New Roman" w:hAnsi="Times New Roman" w:cs="Times New Roman"/>
          <w:sz w:val="24"/>
          <w:szCs w:val="24"/>
          <w:lang w:val="lv-LV"/>
        </w:rPr>
        <w:t>ū</w:t>
      </w:r>
      <w:r w:rsidRPr="00321CBD">
        <w:rPr>
          <w:rFonts w:ascii="Times New Roman" w:hAnsi="Times New Roman" w:cs="Times New Roman"/>
          <w:sz w:val="24"/>
          <w:szCs w:val="24"/>
          <w:lang w:val="lv-LV"/>
        </w:rPr>
        <w:t xml:space="preserve">dzību esamību sievietēm menopauzē un menstruējošām sievietēm. Tikai 14,3% sievietes menopauzē atzīmēja sūdzības, bet </w:t>
      </w:r>
      <w:r w:rsidR="00762079" w:rsidRPr="00321CBD">
        <w:rPr>
          <w:rFonts w:ascii="Times New Roman" w:hAnsi="Times New Roman" w:cs="Times New Roman"/>
          <w:sz w:val="24"/>
          <w:szCs w:val="24"/>
          <w:lang w:val="lv-LV"/>
        </w:rPr>
        <w:t>starp</w:t>
      </w:r>
      <w:r w:rsidR="0053780F" w:rsidRPr="00321CBD">
        <w:rPr>
          <w:rFonts w:ascii="Times New Roman" w:hAnsi="Times New Roman" w:cs="Times New Roman"/>
          <w:sz w:val="24"/>
          <w:szCs w:val="24"/>
          <w:lang w:val="lv-LV"/>
        </w:rPr>
        <w:t xml:space="preserve"> </w:t>
      </w:r>
      <w:r w:rsidR="00762079" w:rsidRPr="00321CBD">
        <w:rPr>
          <w:rFonts w:ascii="Times New Roman" w:hAnsi="Times New Roman" w:cs="Times New Roman"/>
          <w:sz w:val="24"/>
          <w:szCs w:val="24"/>
          <w:lang w:val="lv-LV"/>
        </w:rPr>
        <w:t>menstruējošām sievietēm tādas bija 8</w:t>
      </w:r>
      <w:r w:rsidR="00C52DDC" w:rsidRPr="00321CBD">
        <w:rPr>
          <w:rFonts w:ascii="Times New Roman" w:hAnsi="Times New Roman" w:cs="Times New Roman"/>
          <w:sz w:val="24"/>
          <w:szCs w:val="24"/>
          <w:lang w:val="lv-LV"/>
        </w:rPr>
        <w:t>5</w:t>
      </w:r>
      <w:r w:rsidR="00762079" w:rsidRPr="00321CBD">
        <w:rPr>
          <w:rFonts w:ascii="Times New Roman" w:hAnsi="Times New Roman" w:cs="Times New Roman"/>
          <w:sz w:val="24"/>
          <w:szCs w:val="24"/>
          <w:lang w:val="lv-LV"/>
        </w:rPr>
        <w:t>,7% (</w:t>
      </w:r>
      <w:r w:rsidR="00762079" w:rsidRPr="00321CBD">
        <w:rPr>
          <w:rFonts w:ascii="Times New Roman" w:hAnsi="Times New Roman" w:cs="Times New Roman"/>
          <w:i/>
          <w:sz w:val="24"/>
          <w:szCs w:val="24"/>
          <w:lang w:val="lv-LV"/>
        </w:rPr>
        <w:t>p&lt;0,01</w:t>
      </w:r>
      <w:r w:rsidR="00762079" w:rsidRPr="00321CBD">
        <w:rPr>
          <w:rFonts w:ascii="Times New Roman" w:hAnsi="Times New Roman" w:cs="Times New Roman"/>
          <w:sz w:val="24"/>
          <w:szCs w:val="24"/>
          <w:lang w:val="lv-LV"/>
        </w:rPr>
        <w:t>)</w:t>
      </w:r>
      <w:r w:rsidR="00D6069E">
        <w:rPr>
          <w:rFonts w:ascii="Times New Roman" w:hAnsi="Times New Roman" w:cs="Times New Roman"/>
          <w:sz w:val="24"/>
          <w:szCs w:val="24"/>
          <w:lang w:val="lv-LV"/>
        </w:rPr>
        <w:t>.</w:t>
      </w:r>
    </w:p>
    <w:p w14:paraId="06DA398D" w14:textId="4A07E365" w:rsidR="00F17CA8" w:rsidRPr="00321CBD" w:rsidRDefault="00091238"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Salīdzinot s</w:t>
      </w:r>
      <w:r w:rsidR="00D6069E">
        <w:rPr>
          <w:rFonts w:ascii="Times New Roman" w:hAnsi="Times New Roman" w:cs="Times New Roman"/>
          <w:sz w:val="24"/>
          <w:szCs w:val="24"/>
          <w:lang w:val="lv-LV"/>
        </w:rPr>
        <w:t>ū</w:t>
      </w:r>
      <w:r w:rsidRPr="00321CBD">
        <w:rPr>
          <w:rFonts w:ascii="Times New Roman" w:hAnsi="Times New Roman" w:cs="Times New Roman"/>
          <w:sz w:val="24"/>
          <w:szCs w:val="24"/>
          <w:lang w:val="lv-LV"/>
        </w:rPr>
        <w:t xml:space="preserve">dzību esamību sievietēm ar palielinātu un nepalielinātu svaru, </w:t>
      </w:r>
      <w:r w:rsidR="0085071F" w:rsidRPr="00321CBD">
        <w:rPr>
          <w:rFonts w:ascii="Times New Roman" w:hAnsi="Times New Roman" w:cs="Times New Roman"/>
          <w:sz w:val="24"/>
          <w:szCs w:val="24"/>
          <w:lang w:val="lv-LV"/>
        </w:rPr>
        <w:t>statistiski ticama atšķirība nav atrasta. 50,9% no sievietēm, kam ir sūdzības</w:t>
      </w:r>
      <w:r w:rsidR="0006372F">
        <w:rPr>
          <w:rFonts w:ascii="Times New Roman" w:hAnsi="Times New Roman" w:cs="Times New Roman"/>
          <w:sz w:val="24"/>
          <w:szCs w:val="24"/>
          <w:lang w:val="lv-LV"/>
        </w:rPr>
        <w:t>,</w:t>
      </w:r>
      <w:r w:rsidR="0085071F" w:rsidRPr="00321CBD">
        <w:rPr>
          <w:rFonts w:ascii="Times New Roman" w:hAnsi="Times New Roman" w:cs="Times New Roman"/>
          <w:sz w:val="24"/>
          <w:szCs w:val="24"/>
          <w:lang w:val="lv-LV"/>
        </w:rPr>
        <w:t xml:space="preserve"> svars ir normāls un 49,1% sieviešu ar sūdzībām svars ir palielināts (</w:t>
      </w:r>
      <w:r w:rsidR="0085071F" w:rsidRPr="00321CBD">
        <w:rPr>
          <w:rFonts w:ascii="Times New Roman" w:hAnsi="Times New Roman" w:cs="Times New Roman"/>
          <w:i/>
          <w:sz w:val="24"/>
          <w:szCs w:val="24"/>
          <w:lang w:val="lv-LV"/>
        </w:rPr>
        <w:t>p=0,597</w:t>
      </w:r>
      <w:r w:rsidR="0085071F" w:rsidRPr="00321CBD">
        <w:rPr>
          <w:rFonts w:ascii="Times New Roman" w:hAnsi="Times New Roman" w:cs="Times New Roman"/>
          <w:sz w:val="24"/>
          <w:szCs w:val="24"/>
          <w:lang w:val="lv-LV"/>
        </w:rPr>
        <w:t xml:space="preserve">). </w:t>
      </w:r>
    </w:p>
    <w:p w14:paraId="7CDE950C" w14:textId="5ABE8113" w:rsidR="00091238" w:rsidRPr="00321CBD" w:rsidRDefault="00D6069E" w:rsidP="008A1720">
      <w:p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Biežākā</w:t>
      </w:r>
      <w:r w:rsidRPr="00321CBD">
        <w:rPr>
          <w:rFonts w:ascii="Times New Roman" w:hAnsi="Times New Roman" w:cs="Times New Roman"/>
          <w:sz w:val="24"/>
          <w:szCs w:val="24"/>
          <w:lang w:val="lv-LV"/>
        </w:rPr>
        <w:t xml:space="preserve"> </w:t>
      </w:r>
      <w:r w:rsidR="00F17CA8" w:rsidRPr="00321CBD">
        <w:rPr>
          <w:rFonts w:ascii="Times New Roman" w:hAnsi="Times New Roman" w:cs="Times New Roman"/>
          <w:sz w:val="24"/>
          <w:szCs w:val="24"/>
          <w:lang w:val="lv-LV"/>
        </w:rPr>
        <w:t>sūdzīb</w:t>
      </w:r>
      <w:r>
        <w:rPr>
          <w:rFonts w:ascii="Times New Roman" w:hAnsi="Times New Roman" w:cs="Times New Roman"/>
          <w:sz w:val="24"/>
          <w:szCs w:val="24"/>
          <w:lang w:val="lv-LV"/>
        </w:rPr>
        <w:t>a</w:t>
      </w:r>
      <w:r w:rsidR="00F17CA8" w:rsidRPr="00321CBD">
        <w:rPr>
          <w:rFonts w:ascii="Times New Roman" w:hAnsi="Times New Roman" w:cs="Times New Roman"/>
          <w:sz w:val="24"/>
          <w:szCs w:val="24"/>
          <w:lang w:val="lv-LV"/>
        </w:rPr>
        <w:t xml:space="preserve"> </w:t>
      </w:r>
      <w:r w:rsidR="0006372F">
        <w:rPr>
          <w:rFonts w:ascii="Times New Roman" w:hAnsi="Times New Roman" w:cs="Times New Roman"/>
          <w:sz w:val="24"/>
          <w:szCs w:val="24"/>
          <w:lang w:val="lv-LV"/>
        </w:rPr>
        <w:t xml:space="preserve">- </w:t>
      </w:r>
      <w:r w:rsidR="00F17CA8" w:rsidRPr="00321CBD">
        <w:rPr>
          <w:rFonts w:ascii="Times New Roman" w:hAnsi="Times New Roman" w:cs="Times New Roman"/>
          <w:sz w:val="24"/>
          <w:szCs w:val="24"/>
          <w:lang w:val="lv-LV"/>
        </w:rPr>
        <w:t>90,2% (101 paciente)</w:t>
      </w:r>
      <w:r w:rsidR="0006372F">
        <w:rPr>
          <w:rFonts w:ascii="Times New Roman" w:hAnsi="Times New Roman" w:cs="Times New Roman"/>
          <w:sz w:val="24"/>
          <w:szCs w:val="24"/>
          <w:lang w:val="lv-LV"/>
        </w:rPr>
        <w:t xml:space="preserve"> -</w:t>
      </w:r>
      <w:r w:rsidR="00F17CA8" w:rsidRPr="00321CBD">
        <w:rPr>
          <w:rFonts w:ascii="Times New Roman" w:hAnsi="Times New Roman" w:cs="Times New Roman"/>
          <w:sz w:val="24"/>
          <w:szCs w:val="24"/>
          <w:lang w:val="lv-LV"/>
        </w:rPr>
        <w:t xml:space="preserve"> bija par patoloģisk</w:t>
      </w:r>
      <w:r>
        <w:rPr>
          <w:rFonts w:ascii="Times New Roman" w:hAnsi="Times New Roman" w:cs="Times New Roman"/>
          <w:sz w:val="24"/>
          <w:szCs w:val="24"/>
          <w:lang w:val="lv-LV"/>
        </w:rPr>
        <w:t>o</w:t>
      </w:r>
      <w:r w:rsidR="00F17CA8" w:rsidRPr="00321CBD">
        <w:rPr>
          <w:rFonts w:ascii="Times New Roman" w:hAnsi="Times New Roman" w:cs="Times New Roman"/>
          <w:sz w:val="24"/>
          <w:szCs w:val="24"/>
          <w:lang w:val="lv-LV"/>
        </w:rPr>
        <w:t xml:space="preserve"> dzemdes asiņošanu. No citām sūdzībām tika atzīmētas sāpes vēdera lejasdaļā, neregulāras mēnešreizes un sievietēm menopauz</w:t>
      </w:r>
      <w:r w:rsidR="0006372F">
        <w:rPr>
          <w:rFonts w:ascii="Times New Roman" w:hAnsi="Times New Roman" w:cs="Times New Roman"/>
          <w:sz w:val="24"/>
          <w:szCs w:val="24"/>
          <w:lang w:val="lv-LV"/>
        </w:rPr>
        <w:t xml:space="preserve">es periodā - </w:t>
      </w:r>
      <w:r w:rsidR="00F17CA8" w:rsidRPr="00321CBD">
        <w:rPr>
          <w:rFonts w:ascii="Times New Roman" w:hAnsi="Times New Roman" w:cs="Times New Roman"/>
          <w:sz w:val="24"/>
          <w:szCs w:val="24"/>
          <w:lang w:val="lv-LV"/>
        </w:rPr>
        <w:t>karstuma viļņi.</w:t>
      </w:r>
      <w:r w:rsidR="0053780F" w:rsidRPr="00321CBD">
        <w:rPr>
          <w:rFonts w:ascii="Times New Roman" w:hAnsi="Times New Roman" w:cs="Times New Roman"/>
          <w:sz w:val="24"/>
          <w:szCs w:val="24"/>
          <w:lang w:val="lv-LV"/>
        </w:rPr>
        <w:t xml:space="preserve"> </w:t>
      </w:r>
    </w:p>
    <w:p w14:paraId="0208E61C" w14:textId="596A96DC" w:rsidR="00374ABF" w:rsidRPr="00321CBD" w:rsidRDefault="00374ABF"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Asiņošanas</w:t>
      </w:r>
      <w:r w:rsidR="0053780F" w:rsidRPr="00321CBD">
        <w:rPr>
          <w:rFonts w:ascii="Times New Roman" w:hAnsi="Times New Roman" w:cs="Times New Roman"/>
          <w:sz w:val="24"/>
          <w:szCs w:val="24"/>
          <w:lang w:val="lv-LV"/>
        </w:rPr>
        <w:t xml:space="preserve"> ilguma sadalījums</w:t>
      </w:r>
      <w:r w:rsidR="00A37B6B" w:rsidRPr="00321CBD">
        <w:rPr>
          <w:rFonts w:ascii="Times New Roman" w:hAnsi="Times New Roman" w:cs="Times New Roman"/>
          <w:sz w:val="24"/>
          <w:szCs w:val="24"/>
          <w:lang w:val="lv-LV"/>
        </w:rPr>
        <w:t xml:space="preserve"> līdz </w:t>
      </w:r>
      <w:r w:rsidR="00AE1867">
        <w:rPr>
          <w:rFonts w:ascii="Times New Roman" w:hAnsi="Times New Roman" w:cs="Times New Roman"/>
          <w:sz w:val="24"/>
          <w:szCs w:val="24"/>
          <w:lang w:val="lv-LV"/>
        </w:rPr>
        <w:t>vizītei</w:t>
      </w:r>
      <w:r w:rsidR="00AE1867" w:rsidRPr="00321CBD">
        <w:rPr>
          <w:rFonts w:ascii="Times New Roman" w:hAnsi="Times New Roman" w:cs="Times New Roman"/>
          <w:sz w:val="24"/>
          <w:szCs w:val="24"/>
          <w:lang w:val="lv-LV"/>
        </w:rPr>
        <w:t xml:space="preserve"> </w:t>
      </w:r>
      <w:r w:rsidR="00A37B6B" w:rsidRPr="00321CBD">
        <w:rPr>
          <w:rFonts w:ascii="Times New Roman" w:hAnsi="Times New Roman" w:cs="Times New Roman"/>
          <w:sz w:val="24"/>
          <w:szCs w:val="24"/>
          <w:lang w:val="lv-LV"/>
        </w:rPr>
        <w:t>pie ginekologa</w:t>
      </w:r>
      <w:r w:rsidR="0053780F" w:rsidRPr="00321CBD">
        <w:rPr>
          <w:rFonts w:ascii="Times New Roman" w:hAnsi="Times New Roman" w:cs="Times New Roman"/>
          <w:sz w:val="24"/>
          <w:szCs w:val="24"/>
          <w:lang w:val="lv-LV"/>
        </w:rPr>
        <w:t xml:space="preserve"> ir redzams Grafikā 2. </w:t>
      </w:r>
    </w:p>
    <w:p w14:paraId="2A707BE4" w14:textId="77777777" w:rsidR="0053780F" w:rsidRPr="00321CBD" w:rsidRDefault="00374ABF"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6063472" wp14:editId="7716D14D">
                <wp:simplePos x="0" y="0"/>
                <wp:positionH relativeFrom="column">
                  <wp:posOffset>285115</wp:posOffset>
                </wp:positionH>
                <wp:positionV relativeFrom="paragraph">
                  <wp:posOffset>3044825</wp:posOffset>
                </wp:positionV>
                <wp:extent cx="5495925" cy="2762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138B4D88" w14:textId="707A3D92" w:rsidR="00090782" w:rsidRPr="006B394C" w:rsidRDefault="00090782" w:rsidP="00374ABF">
                            <w:pPr>
                              <w:pBdr>
                                <w:top w:val="single" w:sz="4" w:space="1" w:color="009900"/>
                              </w:pBdr>
                              <w:rPr>
                                <w:b/>
                                <w:lang w:val="lv-LV"/>
                              </w:rPr>
                            </w:pPr>
                            <w:r>
                              <w:rPr>
                                <w:b/>
                                <w:lang w:val="lv-LV"/>
                              </w:rPr>
                              <w:t>Grafiks 2. Pacienš</w:t>
                            </w:r>
                            <w:r w:rsidRPr="006B394C">
                              <w:rPr>
                                <w:b/>
                                <w:lang w:val="lv-LV"/>
                              </w:rPr>
                              <w:t xml:space="preserve">u </w:t>
                            </w:r>
                            <w:r>
                              <w:rPr>
                                <w:b/>
                                <w:lang w:val="lv-LV"/>
                              </w:rPr>
                              <w:t>asiņošanas ilguma sadalījums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9" type="#_x0000_t202" style="position:absolute;left:0;text-align:left;margin-left:22.45pt;margin-top:239.75pt;width:432.7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" fillcolor="white [3201]" stroked="f" strokeweight=".25pt">
                <v:textbox>
                  <w:txbxContent>
                    <w:p w14:paraId="138B4D88" w14:textId="707A3D92" w:rsidR="00C717B0" w:rsidRPr="006B394C" w:rsidRDefault="00C717B0" w:rsidP="00374ABF">
                      <w:pPr>
                        <w:pBdr>
                          <w:top w:val="single" w:sz="4" w:space="1" w:color="009900"/>
                        </w:pBdr>
                        <w:rPr>
                          <w:b/>
                          <w:lang w:val="lv-LV"/>
                        </w:rPr>
                      </w:pPr>
                      <w:r>
                        <w:rPr>
                          <w:b/>
                          <w:lang w:val="lv-LV"/>
                        </w:rPr>
                        <w:t>Grafiks 2. Pacienš</w:t>
                      </w:r>
                      <w:r w:rsidRPr="006B394C">
                        <w:rPr>
                          <w:b/>
                          <w:lang w:val="lv-LV"/>
                        </w:rPr>
                        <w:t xml:space="preserve">u </w:t>
                      </w:r>
                      <w:r>
                        <w:rPr>
                          <w:b/>
                          <w:lang w:val="lv-LV"/>
                        </w:rPr>
                        <w:t>asiņošanas ilguma sadalījums (%)</w:t>
                      </w:r>
                    </w:p>
                  </w:txbxContent>
                </v:textbox>
              </v:shape>
            </w:pict>
          </mc:Fallback>
        </mc:AlternateContent>
      </w:r>
      <w:r w:rsidRPr="00321CBD">
        <w:rPr>
          <w:rFonts w:ascii="Times New Roman" w:hAnsi="Times New Roman" w:cs="Times New Roman"/>
          <w:noProof/>
          <w:sz w:val="24"/>
          <w:szCs w:val="24"/>
        </w:rPr>
        <w:drawing>
          <wp:inline distT="0" distB="0" distL="0" distR="0" wp14:anchorId="416879A6" wp14:editId="600FA6C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4DAAC1" w14:textId="77777777" w:rsidR="0053780F" w:rsidRPr="00321CBD" w:rsidRDefault="0053780F" w:rsidP="008A1720">
      <w:pPr>
        <w:spacing w:line="360" w:lineRule="auto"/>
        <w:jc w:val="both"/>
        <w:rPr>
          <w:rFonts w:ascii="Times New Roman" w:hAnsi="Times New Roman" w:cs="Times New Roman"/>
          <w:sz w:val="24"/>
          <w:szCs w:val="24"/>
          <w:lang w:val="lv-LV"/>
        </w:rPr>
      </w:pPr>
    </w:p>
    <w:p w14:paraId="169C7F30" w14:textId="4890A614" w:rsidR="003E0CC8" w:rsidRPr="00321CBD" w:rsidRDefault="003E0CC8"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Salīdzinot pa vecuma grupām biežākais s</w:t>
      </w:r>
      <w:r w:rsidR="00AE1867">
        <w:rPr>
          <w:rFonts w:ascii="Times New Roman" w:hAnsi="Times New Roman" w:cs="Times New Roman"/>
          <w:sz w:val="24"/>
          <w:szCs w:val="24"/>
          <w:lang w:val="lv-LV"/>
        </w:rPr>
        <w:t>ū</w:t>
      </w:r>
      <w:r w:rsidRPr="00321CBD">
        <w:rPr>
          <w:rFonts w:ascii="Times New Roman" w:hAnsi="Times New Roman" w:cs="Times New Roman"/>
          <w:sz w:val="24"/>
          <w:szCs w:val="24"/>
          <w:lang w:val="lv-LV"/>
        </w:rPr>
        <w:t>dzību ilgums bija 3-6 mēneši visās trijās grupās. Vecuma grupā virs 55</w:t>
      </w:r>
      <w:r w:rsidR="00AE1867">
        <w:rPr>
          <w:rFonts w:ascii="Times New Roman" w:hAnsi="Times New Roman" w:cs="Times New Roman"/>
          <w:sz w:val="24"/>
          <w:szCs w:val="24"/>
          <w:lang w:val="lv-LV"/>
        </w:rPr>
        <w:t xml:space="preserve"> gadiem</w:t>
      </w:r>
      <w:r w:rsidRPr="00321CBD">
        <w:rPr>
          <w:rFonts w:ascii="Times New Roman" w:hAnsi="Times New Roman" w:cs="Times New Roman"/>
          <w:sz w:val="24"/>
          <w:szCs w:val="24"/>
          <w:lang w:val="lv-LV"/>
        </w:rPr>
        <w:t xml:space="preserve"> tas procentuāli bija vienāds ar ilgumu līdz 3 mēnešiem</w:t>
      </w:r>
      <w:r w:rsidR="00AE1867">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 40%</w:t>
      </w:r>
      <w:r w:rsidR="00AE1867">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AE1867">
        <w:rPr>
          <w:rFonts w:ascii="Times New Roman" w:hAnsi="Times New Roman" w:cs="Times New Roman"/>
          <w:color w:val="000000" w:themeColor="text1"/>
          <w:sz w:val="24"/>
          <w:szCs w:val="24"/>
          <w:lang w:val="lv-LV"/>
        </w:rPr>
        <w:t xml:space="preserve">Toties </w:t>
      </w:r>
      <w:r w:rsidRPr="00321CBD">
        <w:rPr>
          <w:rFonts w:ascii="Times New Roman" w:hAnsi="Times New Roman" w:cs="Times New Roman"/>
          <w:color w:val="000000" w:themeColor="text1"/>
          <w:sz w:val="24"/>
          <w:szCs w:val="24"/>
          <w:lang w:val="lv-LV"/>
        </w:rPr>
        <w:t>jāatzīmē, ka kopumā tādas sievietes bija tikai 5</w:t>
      </w:r>
      <w:r w:rsidR="00355171" w:rsidRPr="00321CBD">
        <w:rPr>
          <w:rFonts w:ascii="Times New Roman" w:hAnsi="Times New Roman" w:cs="Times New Roman"/>
          <w:color w:val="000000" w:themeColor="text1"/>
          <w:sz w:val="24"/>
          <w:szCs w:val="24"/>
          <w:lang w:val="lv-LV"/>
        </w:rPr>
        <w:t>.</w:t>
      </w:r>
      <w:r w:rsidRPr="00321CBD">
        <w:rPr>
          <w:rFonts w:ascii="Times New Roman" w:hAnsi="Times New Roman" w:cs="Times New Roman"/>
          <w:color w:val="FF0000"/>
          <w:sz w:val="24"/>
          <w:szCs w:val="24"/>
          <w:lang w:val="lv-LV"/>
        </w:rPr>
        <w:t xml:space="preserve"> </w:t>
      </w:r>
      <w:r w:rsidRPr="00321CBD">
        <w:rPr>
          <w:rFonts w:ascii="Times New Roman" w:hAnsi="Times New Roman" w:cs="Times New Roman"/>
          <w:sz w:val="24"/>
          <w:szCs w:val="24"/>
          <w:lang w:val="lv-LV"/>
        </w:rPr>
        <w:t xml:space="preserve">Pētot asiņošanas ilgumu sievietēm </w:t>
      </w:r>
      <w:r w:rsidRPr="00321CBD">
        <w:rPr>
          <w:rFonts w:ascii="Times New Roman" w:hAnsi="Times New Roman" w:cs="Times New Roman"/>
          <w:sz w:val="24"/>
          <w:szCs w:val="24"/>
          <w:lang w:val="lv-LV"/>
        </w:rPr>
        <w:lastRenderedPageBreak/>
        <w:t>menopauzē</w:t>
      </w:r>
      <w:r w:rsidR="00AE1867">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visbiežāk tika novērota asiņošana līdz 3 mēnešiem, vai no 3 līdz 6 mēnešiem (46,2% katrā grupā). </w:t>
      </w:r>
    </w:p>
    <w:p w14:paraId="0CC81C72" w14:textId="6CEF82E5" w:rsidR="00A37B6B" w:rsidRPr="00321CBD" w:rsidRDefault="00BD1BB0" w:rsidP="008A17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Visām sievietēm menopauz</w:t>
      </w:r>
      <w:r w:rsidR="0006372F">
        <w:rPr>
          <w:rFonts w:ascii="Times New Roman" w:hAnsi="Times New Roman" w:cs="Times New Roman"/>
          <w:sz w:val="24"/>
          <w:szCs w:val="24"/>
          <w:lang w:val="lv-LV"/>
        </w:rPr>
        <w:t>es periodā</w:t>
      </w:r>
      <w:r w:rsidRPr="00321CBD">
        <w:rPr>
          <w:rFonts w:ascii="Times New Roman" w:hAnsi="Times New Roman" w:cs="Times New Roman"/>
          <w:sz w:val="24"/>
          <w:szCs w:val="24"/>
          <w:lang w:val="lv-LV"/>
        </w:rPr>
        <w:t xml:space="preserve"> sūdzības par asiņošanu tika novērtētas </w:t>
      </w:r>
      <w:r w:rsidR="00A74149">
        <w:rPr>
          <w:rFonts w:ascii="Times New Roman" w:hAnsi="Times New Roman" w:cs="Times New Roman"/>
          <w:sz w:val="24"/>
          <w:szCs w:val="24"/>
          <w:lang w:val="lv-LV"/>
        </w:rPr>
        <w:t>kā</w:t>
      </w:r>
      <w:r w:rsidR="00A74149"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metrorāģij</w:t>
      </w:r>
      <w:r w:rsidR="00A74149">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menopauzē. Savukārt menstruējošām sievietēm sūdzības par asiņošanu tika sadalītas vairākās daļās un definētas sekojoši (atbilstoši mācību grāmatai „Ginekoloģija” prof. I.Vībergas redakcijā 2013)</w:t>
      </w:r>
      <w:r w:rsidR="00EE7FF0" w:rsidRPr="00EE7FF0">
        <w:rPr>
          <w:rFonts w:ascii="Times New Roman" w:hAnsi="Times New Roman" w:cs="Times New Roman"/>
          <w:sz w:val="24"/>
          <w:szCs w:val="24"/>
          <w:vertAlign w:val="superscript"/>
          <w:lang w:val="lv-LV"/>
        </w:rPr>
        <w:t>5</w:t>
      </w:r>
      <w:r w:rsidRPr="00321CBD">
        <w:rPr>
          <w:rFonts w:ascii="Times New Roman" w:hAnsi="Times New Roman" w:cs="Times New Roman"/>
          <w:sz w:val="24"/>
          <w:szCs w:val="24"/>
          <w:lang w:val="lv-LV"/>
        </w:rPr>
        <w:t>:</w:t>
      </w:r>
    </w:p>
    <w:p w14:paraId="73F80A3E" w14:textId="7EF01F2A" w:rsidR="00BD1BB0" w:rsidRPr="00321CBD" w:rsidRDefault="00BD1BB0" w:rsidP="00BD1BB0">
      <w:pPr>
        <w:pStyle w:val="ListParagraph"/>
        <w:numPr>
          <w:ilvl w:val="0"/>
          <w:numId w:val="9"/>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Menorāģija – </w:t>
      </w:r>
      <w:r w:rsidR="006B7C07" w:rsidRPr="00321CBD">
        <w:rPr>
          <w:rFonts w:ascii="Times New Roman" w:hAnsi="Times New Roman" w:cs="Times New Roman"/>
          <w:sz w:val="24"/>
          <w:szCs w:val="24"/>
          <w:lang w:val="lv-LV"/>
        </w:rPr>
        <w:t>ilgstoša</w:t>
      </w:r>
      <w:r w:rsidRPr="00321CBD">
        <w:rPr>
          <w:rFonts w:ascii="Times New Roman" w:hAnsi="Times New Roman" w:cs="Times New Roman"/>
          <w:sz w:val="24"/>
          <w:szCs w:val="24"/>
          <w:lang w:val="lv-LV"/>
        </w:rPr>
        <w:t xml:space="preserve"> un/vai apjomīga menstruāla asiņošana</w:t>
      </w:r>
      <w:r w:rsidR="0006372F">
        <w:rPr>
          <w:rFonts w:ascii="Times New Roman" w:hAnsi="Times New Roman" w:cs="Times New Roman"/>
          <w:sz w:val="24"/>
          <w:szCs w:val="24"/>
          <w:lang w:val="lv-LV"/>
        </w:rPr>
        <w:t>;</w:t>
      </w:r>
    </w:p>
    <w:p w14:paraId="0DADDBA5" w14:textId="0592888E" w:rsidR="00BD1BB0" w:rsidRPr="00321CBD" w:rsidRDefault="00BD1BB0" w:rsidP="00BD1BB0">
      <w:pPr>
        <w:pStyle w:val="ListParagraph"/>
        <w:numPr>
          <w:ilvl w:val="0"/>
          <w:numId w:val="9"/>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Metrorāģija – ar menstruālo ciklu nesaistīta, neregulāra dzemdes asiņošana</w:t>
      </w:r>
      <w:r w:rsidR="0006372F">
        <w:rPr>
          <w:rFonts w:ascii="Times New Roman" w:hAnsi="Times New Roman" w:cs="Times New Roman"/>
          <w:sz w:val="24"/>
          <w:szCs w:val="24"/>
          <w:lang w:val="lv-LV"/>
        </w:rPr>
        <w:t>;</w:t>
      </w:r>
    </w:p>
    <w:p w14:paraId="61D00ACD" w14:textId="618D6D40" w:rsidR="00BD1BB0" w:rsidRPr="00321CBD" w:rsidRDefault="00BD1BB0" w:rsidP="00BD1BB0">
      <w:pPr>
        <w:pStyle w:val="ListParagraph"/>
        <w:numPr>
          <w:ilvl w:val="0"/>
          <w:numId w:val="9"/>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Neregulāri spotingi</w:t>
      </w:r>
      <w:r w:rsidR="0060262D" w:rsidRPr="00321CBD">
        <w:rPr>
          <w:rFonts w:ascii="Times New Roman" w:hAnsi="Times New Roman" w:cs="Times New Roman"/>
          <w:sz w:val="24"/>
          <w:szCs w:val="24"/>
          <w:lang w:val="lv-LV"/>
        </w:rPr>
        <w:t xml:space="preserve"> </w:t>
      </w:r>
      <w:r w:rsidR="00F07DD9" w:rsidRPr="00321CBD">
        <w:rPr>
          <w:rFonts w:ascii="Times New Roman" w:hAnsi="Times New Roman" w:cs="Times New Roman"/>
          <w:sz w:val="24"/>
          <w:szCs w:val="24"/>
          <w:lang w:val="lv-LV"/>
        </w:rPr>
        <w:t>–</w:t>
      </w:r>
      <w:r w:rsidR="0060262D" w:rsidRPr="00321CBD">
        <w:rPr>
          <w:rFonts w:ascii="Times New Roman" w:hAnsi="Times New Roman" w:cs="Times New Roman"/>
          <w:sz w:val="24"/>
          <w:szCs w:val="24"/>
          <w:lang w:val="lv-LV"/>
        </w:rPr>
        <w:t xml:space="preserve"> </w:t>
      </w:r>
      <w:r w:rsidR="00F07DD9" w:rsidRPr="00321CBD">
        <w:rPr>
          <w:rFonts w:ascii="Times New Roman" w:hAnsi="Times New Roman" w:cs="Times New Roman"/>
          <w:sz w:val="24"/>
          <w:szCs w:val="24"/>
          <w:lang w:val="lv-LV"/>
        </w:rPr>
        <w:t>starpmenstruāli nelieli asiņaini izdalījumi</w:t>
      </w:r>
      <w:r w:rsidR="00A74149">
        <w:rPr>
          <w:rFonts w:ascii="Times New Roman" w:hAnsi="Times New Roman" w:cs="Times New Roman"/>
          <w:sz w:val="24"/>
          <w:szCs w:val="24"/>
          <w:lang w:val="lv-LV"/>
        </w:rPr>
        <w:t xml:space="preserve"> </w:t>
      </w:r>
      <w:r w:rsidR="00F07DD9" w:rsidRPr="00321CBD">
        <w:rPr>
          <w:rFonts w:ascii="Times New Roman" w:hAnsi="Times New Roman" w:cs="Times New Roman"/>
          <w:sz w:val="24"/>
          <w:szCs w:val="24"/>
          <w:lang w:val="lv-LV"/>
        </w:rPr>
        <w:t>(smērēšanās)</w:t>
      </w:r>
      <w:r w:rsidR="0006372F">
        <w:rPr>
          <w:rFonts w:ascii="Times New Roman" w:hAnsi="Times New Roman" w:cs="Times New Roman"/>
          <w:sz w:val="24"/>
          <w:szCs w:val="24"/>
          <w:lang w:val="lv-LV"/>
        </w:rPr>
        <w:t>;</w:t>
      </w:r>
    </w:p>
    <w:p w14:paraId="053B4DB7" w14:textId="5E948EB9" w:rsidR="00F07DD9" w:rsidRPr="00321CBD" w:rsidRDefault="00F07DD9" w:rsidP="00BD1BB0">
      <w:pPr>
        <w:pStyle w:val="ListParagraph"/>
        <w:numPr>
          <w:ilvl w:val="0"/>
          <w:numId w:val="9"/>
        </w:numPr>
        <w:spacing w:line="360" w:lineRule="auto"/>
        <w:jc w:val="both"/>
        <w:rPr>
          <w:rFonts w:ascii="Times New Roman" w:hAnsi="Times New Roman" w:cs="Times New Roman"/>
          <w:sz w:val="24"/>
          <w:szCs w:val="24"/>
          <w:lang w:val="lv-LV"/>
        </w:rPr>
      </w:pPr>
      <w:r w:rsidRPr="007B020D">
        <w:rPr>
          <w:rFonts w:ascii="Times New Roman" w:hAnsi="Times New Roman" w:cs="Times New Roman"/>
          <w:sz w:val="24"/>
          <w:szCs w:val="24"/>
          <w:lang w:val="lv-LV"/>
        </w:rPr>
        <w:t xml:space="preserve">Postkoitali </w:t>
      </w:r>
      <w:r w:rsidRPr="00321CBD">
        <w:rPr>
          <w:rFonts w:ascii="Times New Roman" w:hAnsi="Times New Roman" w:cs="Times New Roman"/>
          <w:sz w:val="24"/>
          <w:szCs w:val="24"/>
          <w:lang w:val="lv-LV"/>
        </w:rPr>
        <w:t>asiņaini izdalījumi – smērējoši izdalījumi, kas parādās pēc dzimumakta</w:t>
      </w:r>
      <w:r w:rsidR="0006372F">
        <w:rPr>
          <w:rFonts w:ascii="Times New Roman" w:hAnsi="Times New Roman" w:cs="Times New Roman"/>
          <w:sz w:val="24"/>
          <w:szCs w:val="24"/>
          <w:lang w:val="lv-LV"/>
        </w:rPr>
        <w:t>;</w:t>
      </w:r>
    </w:p>
    <w:p w14:paraId="4F2126E4" w14:textId="04342BF9" w:rsidR="00F07DD9" w:rsidRPr="00321CBD" w:rsidRDefault="00F07DD9" w:rsidP="00BD1BB0">
      <w:pPr>
        <w:pStyle w:val="ListParagraph"/>
        <w:numPr>
          <w:ilvl w:val="0"/>
          <w:numId w:val="9"/>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Premenstruāli asiņaini izdalījumi – niecīgi asiņaini izdalījumi 1-2 dienas pirms menstruāci</w:t>
      </w:r>
      <w:r w:rsidR="0006372F">
        <w:rPr>
          <w:rFonts w:ascii="Times New Roman" w:hAnsi="Times New Roman" w:cs="Times New Roman"/>
          <w:sz w:val="24"/>
          <w:szCs w:val="24"/>
          <w:lang w:val="lv-LV"/>
        </w:rPr>
        <w:t>jām;</w:t>
      </w:r>
    </w:p>
    <w:p w14:paraId="45DDE89F" w14:textId="60879DFC" w:rsidR="00F07DD9" w:rsidRPr="00321CBD" w:rsidRDefault="00F07DD9" w:rsidP="00BD1BB0">
      <w:pPr>
        <w:pStyle w:val="ListParagraph"/>
        <w:numPr>
          <w:ilvl w:val="0"/>
          <w:numId w:val="9"/>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Postmenstruāli asiņaini izdalījumi – niecīgi asiņaini izdalījumi 1-2 dienas pēc menstruācij</w:t>
      </w:r>
      <w:r w:rsidR="0006372F">
        <w:rPr>
          <w:rFonts w:ascii="Times New Roman" w:hAnsi="Times New Roman" w:cs="Times New Roman"/>
          <w:sz w:val="24"/>
          <w:szCs w:val="24"/>
          <w:lang w:val="lv-LV"/>
        </w:rPr>
        <w:t>ām.</w:t>
      </w:r>
    </w:p>
    <w:p w14:paraId="6D31F5E6" w14:textId="62F5A613" w:rsidR="001D7F3F" w:rsidRPr="00321CBD" w:rsidRDefault="00794635" w:rsidP="001D7F3F">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55,7% sieviešu ar sūdzībām par patoloģisku asiņošanu sūdzējās par menorāģiju. Tikai 6 sievietes no 88 (6,8%) atzīmēja neregulāru dzemdes asiņošanu, jeb metrorāģiju. Neregulārus spotingus atzīmēja 23,9% sieviešu. Par asiņainiem izdalījumiem pēc dzimumakta s</w:t>
      </w:r>
      <w:r w:rsidR="007B1278">
        <w:rPr>
          <w:rFonts w:ascii="Times New Roman" w:hAnsi="Times New Roman" w:cs="Times New Roman"/>
          <w:sz w:val="24"/>
          <w:szCs w:val="24"/>
          <w:lang w:val="lv-LV"/>
        </w:rPr>
        <w:t>ū</w:t>
      </w:r>
      <w:r w:rsidRPr="00321CBD">
        <w:rPr>
          <w:rFonts w:ascii="Times New Roman" w:hAnsi="Times New Roman" w:cs="Times New Roman"/>
          <w:sz w:val="24"/>
          <w:szCs w:val="24"/>
          <w:lang w:val="lv-LV"/>
        </w:rPr>
        <w:t>dzēj</w:t>
      </w:r>
      <w:r w:rsidR="007B1278">
        <w:rPr>
          <w:rFonts w:ascii="Times New Roman" w:hAnsi="Times New Roman" w:cs="Times New Roman"/>
          <w:sz w:val="24"/>
          <w:szCs w:val="24"/>
          <w:lang w:val="lv-LV"/>
        </w:rPr>
        <w:t>ā</w:t>
      </w:r>
      <w:r w:rsidRPr="00321CBD">
        <w:rPr>
          <w:rFonts w:ascii="Times New Roman" w:hAnsi="Times New Roman" w:cs="Times New Roman"/>
          <w:sz w:val="24"/>
          <w:szCs w:val="24"/>
          <w:lang w:val="lv-LV"/>
        </w:rPr>
        <w:t>s 5,7% (5 sievietes)</w:t>
      </w:r>
      <w:r w:rsidR="00ED0290">
        <w:rPr>
          <w:rFonts w:ascii="Times New Roman" w:hAnsi="Times New Roman" w:cs="Times New Roman"/>
          <w:sz w:val="24"/>
          <w:szCs w:val="24"/>
          <w:lang w:val="lv-LV"/>
        </w:rPr>
        <w:t>, bet s</w:t>
      </w:r>
      <w:r w:rsidR="00F8183D" w:rsidRPr="00321CBD">
        <w:rPr>
          <w:rFonts w:ascii="Times New Roman" w:hAnsi="Times New Roman" w:cs="Times New Roman"/>
          <w:sz w:val="24"/>
          <w:szCs w:val="24"/>
          <w:lang w:val="lv-LV"/>
        </w:rPr>
        <w:t>m</w:t>
      </w:r>
      <w:r w:rsidR="007B1278">
        <w:rPr>
          <w:rFonts w:ascii="Times New Roman" w:hAnsi="Times New Roman" w:cs="Times New Roman"/>
          <w:sz w:val="24"/>
          <w:szCs w:val="24"/>
          <w:lang w:val="lv-LV"/>
        </w:rPr>
        <w:t>ē</w:t>
      </w:r>
      <w:r w:rsidR="00F8183D" w:rsidRPr="00321CBD">
        <w:rPr>
          <w:rFonts w:ascii="Times New Roman" w:hAnsi="Times New Roman" w:cs="Times New Roman"/>
          <w:sz w:val="24"/>
          <w:szCs w:val="24"/>
          <w:lang w:val="lv-LV"/>
        </w:rPr>
        <w:t>rējošus asiņainus izdalījumus prementruāli un postmenstru</w:t>
      </w:r>
      <w:r w:rsidR="007B1278">
        <w:rPr>
          <w:rFonts w:ascii="Times New Roman" w:hAnsi="Times New Roman" w:cs="Times New Roman"/>
          <w:sz w:val="24"/>
          <w:szCs w:val="24"/>
          <w:lang w:val="lv-LV"/>
        </w:rPr>
        <w:t>ā</w:t>
      </w:r>
      <w:r w:rsidR="00F8183D" w:rsidRPr="00321CBD">
        <w:rPr>
          <w:rFonts w:ascii="Times New Roman" w:hAnsi="Times New Roman" w:cs="Times New Roman"/>
          <w:sz w:val="24"/>
          <w:szCs w:val="24"/>
          <w:lang w:val="lv-LV"/>
        </w:rPr>
        <w:t xml:space="preserve">li atzīmēja </w:t>
      </w:r>
      <w:r w:rsidR="006B7C07" w:rsidRPr="00321CBD">
        <w:rPr>
          <w:rFonts w:ascii="Times New Roman" w:hAnsi="Times New Roman" w:cs="Times New Roman"/>
          <w:sz w:val="24"/>
          <w:szCs w:val="24"/>
          <w:lang w:val="lv-LV"/>
        </w:rPr>
        <w:t xml:space="preserve">attiecīgi </w:t>
      </w:r>
      <w:r w:rsidR="00F8183D" w:rsidRPr="00321CBD">
        <w:rPr>
          <w:rFonts w:ascii="Times New Roman" w:hAnsi="Times New Roman" w:cs="Times New Roman"/>
          <w:sz w:val="24"/>
          <w:szCs w:val="24"/>
          <w:lang w:val="lv-LV"/>
        </w:rPr>
        <w:t xml:space="preserve">15,9% un 19,3%. </w:t>
      </w:r>
    </w:p>
    <w:p w14:paraId="30B3661A" w14:textId="0BAD336D" w:rsidR="004D676F" w:rsidRPr="00321CBD" w:rsidRDefault="004D676F"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Sadalot patoloģ</w:t>
      </w:r>
      <w:r w:rsidR="007B1278">
        <w:rPr>
          <w:rFonts w:ascii="Times New Roman" w:hAnsi="Times New Roman" w:cs="Times New Roman"/>
          <w:sz w:val="24"/>
          <w:szCs w:val="24"/>
          <w:lang w:val="lv-LV"/>
        </w:rPr>
        <w:t>i</w:t>
      </w:r>
      <w:r w:rsidRPr="00321CBD">
        <w:rPr>
          <w:rFonts w:ascii="Times New Roman" w:hAnsi="Times New Roman" w:cs="Times New Roman"/>
          <w:sz w:val="24"/>
          <w:szCs w:val="24"/>
          <w:lang w:val="lv-LV"/>
        </w:rPr>
        <w:t>sk</w:t>
      </w:r>
      <w:r w:rsidR="007B1278">
        <w:rPr>
          <w:rFonts w:ascii="Times New Roman" w:hAnsi="Times New Roman" w:cs="Times New Roman"/>
          <w:sz w:val="24"/>
          <w:szCs w:val="24"/>
          <w:lang w:val="lv-LV"/>
        </w:rPr>
        <w:t>ā</w:t>
      </w:r>
      <w:r w:rsidRPr="00321CBD">
        <w:rPr>
          <w:rFonts w:ascii="Times New Roman" w:hAnsi="Times New Roman" w:cs="Times New Roman"/>
          <w:sz w:val="24"/>
          <w:szCs w:val="24"/>
          <w:lang w:val="lv-LV"/>
        </w:rPr>
        <w:t>s dzemdes asiņošanas variantus pa vecuma grupām</w:t>
      </w:r>
      <w:r w:rsidR="007B127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par menorāģiju vecuma grupās līdz 45 un 46 – 55 gadiem sūdz</w:t>
      </w:r>
      <w:r w:rsidR="00ED0290">
        <w:rPr>
          <w:rFonts w:ascii="Times New Roman" w:hAnsi="Times New Roman" w:cs="Times New Roman"/>
          <w:sz w:val="24"/>
          <w:szCs w:val="24"/>
          <w:lang w:val="lv-LV"/>
        </w:rPr>
        <w:t>ējā</w:t>
      </w:r>
      <w:r w:rsidRPr="00321CBD">
        <w:rPr>
          <w:rFonts w:ascii="Times New Roman" w:hAnsi="Times New Roman" w:cs="Times New Roman"/>
          <w:sz w:val="24"/>
          <w:szCs w:val="24"/>
          <w:lang w:val="lv-LV"/>
        </w:rPr>
        <w:t>s vairāk nekā puse no pacientēm. Sīkāks sadalījums redzams Tabulā 3.</w:t>
      </w:r>
    </w:p>
    <w:p w14:paraId="6D60BC7F" w14:textId="77777777" w:rsidR="004D676F" w:rsidRPr="00321CBD" w:rsidRDefault="004D676F">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p w14:paraId="332C5829" w14:textId="77777777" w:rsidR="00F07DD9" w:rsidRPr="00321CBD" w:rsidRDefault="00F07DD9" w:rsidP="00F07DD9">
      <w:pPr>
        <w:spacing w:line="36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518"/>
        <w:gridCol w:w="2292"/>
        <w:gridCol w:w="2405"/>
        <w:gridCol w:w="2405"/>
      </w:tblGrid>
      <w:tr w:rsidR="004D676F" w:rsidRPr="00090782" w14:paraId="55DCD859" w14:textId="77777777" w:rsidTr="0088363B">
        <w:tc>
          <w:tcPr>
            <w:tcW w:w="9620" w:type="dxa"/>
            <w:gridSpan w:val="4"/>
            <w:tcBorders>
              <w:top w:val="single" w:sz="24" w:space="0" w:color="009900"/>
              <w:left w:val="nil"/>
              <w:bottom w:val="single" w:sz="24" w:space="0" w:color="009900"/>
              <w:right w:val="nil"/>
            </w:tcBorders>
          </w:tcPr>
          <w:p w14:paraId="473EF8D5" w14:textId="5AD257DB" w:rsidR="004D676F" w:rsidRPr="00321CBD" w:rsidRDefault="004D676F" w:rsidP="004D676F">
            <w:pPr>
              <w:spacing w:after="200"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Tabula 3. Patoloģisk</w:t>
            </w:r>
            <w:r w:rsidR="00ED0290">
              <w:rPr>
                <w:rFonts w:ascii="Times New Roman" w:hAnsi="Times New Roman" w:cs="Times New Roman"/>
                <w:b/>
                <w:sz w:val="24"/>
                <w:szCs w:val="24"/>
                <w:lang w:val="lv-LV"/>
              </w:rPr>
              <w:t>a</w:t>
            </w:r>
            <w:r w:rsidRPr="00321CBD">
              <w:rPr>
                <w:rFonts w:ascii="Times New Roman" w:hAnsi="Times New Roman" w:cs="Times New Roman"/>
                <w:b/>
                <w:sz w:val="24"/>
                <w:szCs w:val="24"/>
                <w:lang w:val="lv-LV"/>
              </w:rPr>
              <w:t>s dzemdes asiņošanas variantu sadalījums pa vecuma grupām</w:t>
            </w:r>
            <w:r w:rsidR="00494240" w:rsidRPr="00321CBD">
              <w:rPr>
                <w:rFonts w:ascii="Times New Roman" w:hAnsi="Times New Roman" w:cs="Times New Roman"/>
                <w:b/>
                <w:sz w:val="24"/>
                <w:szCs w:val="24"/>
                <w:lang w:val="lv-LV"/>
              </w:rPr>
              <w:t xml:space="preserve"> menstruējošām sievietēm</w:t>
            </w:r>
          </w:p>
        </w:tc>
      </w:tr>
      <w:tr w:rsidR="004D676F" w:rsidRPr="00321CBD" w14:paraId="3F65C4CD" w14:textId="77777777" w:rsidTr="00494240">
        <w:tc>
          <w:tcPr>
            <w:tcW w:w="2518" w:type="dxa"/>
            <w:tcBorders>
              <w:top w:val="single" w:sz="24" w:space="0" w:color="009900"/>
              <w:left w:val="nil"/>
              <w:bottom w:val="nil"/>
              <w:right w:val="nil"/>
            </w:tcBorders>
          </w:tcPr>
          <w:p w14:paraId="1464A76D" w14:textId="77777777" w:rsidR="004D676F" w:rsidRPr="00321CBD" w:rsidRDefault="004D676F" w:rsidP="0088363B">
            <w:pPr>
              <w:spacing w:line="360" w:lineRule="auto"/>
              <w:jc w:val="both"/>
              <w:rPr>
                <w:rFonts w:ascii="Times New Roman" w:hAnsi="Times New Roman" w:cs="Times New Roman"/>
                <w:sz w:val="24"/>
                <w:szCs w:val="24"/>
                <w:lang w:val="lv-LV"/>
              </w:rPr>
            </w:pPr>
          </w:p>
        </w:tc>
        <w:tc>
          <w:tcPr>
            <w:tcW w:w="2292" w:type="dxa"/>
            <w:tcBorders>
              <w:top w:val="single" w:sz="18" w:space="0" w:color="009900"/>
              <w:left w:val="nil"/>
              <w:bottom w:val="nil"/>
              <w:right w:val="nil"/>
            </w:tcBorders>
          </w:tcPr>
          <w:p w14:paraId="7477B2F2" w14:textId="77777777" w:rsidR="004D676F" w:rsidRPr="00321CBD" w:rsidRDefault="004D676F"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Līdz 45</w:t>
            </w:r>
          </w:p>
        </w:tc>
        <w:tc>
          <w:tcPr>
            <w:tcW w:w="2405" w:type="dxa"/>
            <w:tcBorders>
              <w:top w:val="single" w:sz="18" w:space="0" w:color="009900"/>
              <w:left w:val="nil"/>
              <w:bottom w:val="nil"/>
              <w:right w:val="nil"/>
            </w:tcBorders>
          </w:tcPr>
          <w:p w14:paraId="2F18F084" w14:textId="77777777" w:rsidR="004D676F" w:rsidRPr="00321CBD" w:rsidRDefault="004D676F"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No 46 līdz 55</w:t>
            </w:r>
          </w:p>
        </w:tc>
        <w:tc>
          <w:tcPr>
            <w:tcW w:w="2405" w:type="dxa"/>
            <w:tcBorders>
              <w:top w:val="single" w:sz="18" w:space="0" w:color="009900"/>
              <w:left w:val="nil"/>
              <w:bottom w:val="nil"/>
              <w:right w:val="nil"/>
            </w:tcBorders>
          </w:tcPr>
          <w:p w14:paraId="6ACFC281" w14:textId="77777777" w:rsidR="004D676F" w:rsidRPr="00321CBD" w:rsidRDefault="004D676F"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Virs 55</w:t>
            </w:r>
          </w:p>
        </w:tc>
      </w:tr>
      <w:tr w:rsidR="004D676F" w:rsidRPr="00321CBD" w14:paraId="2FC3044D" w14:textId="77777777" w:rsidTr="00494240">
        <w:tc>
          <w:tcPr>
            <w:tcW w:w="2518" w:type="dxa"/>
            <w:tcBorders>
              <w:top w:val="nil"/>
              <w:left w:val="nil"/>
              <w:bottom w:val="nil"/>
              <w:right w:val="nil"/>
            </w:tcBorders>
          </w:tcPr>
          <w:p w14:paraId="3E3BC2B7" w14:textId="77777777" w:rsidR="004D676F"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Menorāģija</w:t>
            </w:r>
          </w:p>
        </w:tc>
        <w:tc>
          <w:tcPr>
            <w:tcW w:w="2292" w:type="dxa"/>
            <w:tcBorders>
              <w:top w:val="nil"/>
              <w:left w:val="nil"/>
              <w:bottom w:val="nil"/>
              <w:right w:val="nil"/>
            </w:tcBorders>
          </w:tcPr>
          <w:p w14:paraId="15A9C2F2" w14:textId="77777777" w:rsidR="004D676F" w:rsidRPr="00321CBD" w:rsidRDefault="0049424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36 (57,1%)</w:t>
            </w:r>
          </w:p>
        </w:tc>
        <w:tc>
          <w:tcPr>
            <w:tcW w:w="2405" w:type="dxa"/>
            <w:tcBorders>
              <w:top w:val="nil"/>
              <w:left w:val="nil"/>
              <w:bottom w:val="nil"/>
              <w:right w:val="nil"/>
            </w:tcBorders>
          </w:tcPr>
          <w:p w14:paraId="2CA876F0" w14:textId="77777777" w:rsidR="004D676F" w:rsidRPr="00321CBD" w:rsidRDefault="0049424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13(54,2%)</w:t>
            </w:r>
          </w:p>
        </w:tc>
        <w:tc>
          <w:tcPr>
            <w:tcW w:w="2405" w:type="dxa"/>
            <w:tcBorders>
              <w:top w:val="nil"/>
              <w:left w:val="nil"/>
              <w:bottom w:val="nil"/>
              <w:right w:val="nil"/>
            </w:tcBorders>
          </w:tcPr>
          <w:p w14:paraId="55E7916E" w14:textId="77777777" w:rsidR="004D676F" w:rsidRPr="00321CBD" w:rsidRDefault="0049424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494240" w:rsidRPr="00321CBD" w14:paraId="674752EB" w14:textId="77777777" w:rsidTr="00494240">
        <w:tc>
          <w:tcPr>
            <w:tcW w:w="2518" w:type="dxa"/>
            <w:tcBorders>
              <w:top w:val="nil"/>
              <w:left w:val="nil"/>
              <w:bottom w:val="nil"/>
              <w:right w:val="nil"/>
            </w:tcBorders>
          </w:tcPr>
          <w:p w14:paraId="6788C18E" w14:textId="77777777" w:rsidR="00494240"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Metrorāģija</w:t>
            </w:r>
          </w:p>
        </w:tc>
        <w:tc>
          <w:tcPr>
            <w:tcW w:w="2292" w:type="dxa"/>
            <w:tcBorders>
              <w:top w:val="nil"/>
              <w:left w:val="nil"/>
              <w:bottom w:val="nil"/>
              <w:right w:val="nil"/>
            </w:tcBorders>
          </w:tcPr>
          <w:p w14:paraId="04765EA6"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2(3,2%)</w:t>
            </w:r>
          </w:p>
        </w:tc>
        <w:tc>
          <w:tcPr>
            <w:tcW w:w="2405" w:type="dxa"/>
            <w:tcBorders>
              <w:top w:val="nil"/>
              <w:left w:val="nil"/>
              <w:bottom w:val="nil"/>
              <w:right w:val="nil"/>
            </w:tcBorders>
          </w:tcPr>
          <w:p w14:paraId="4C19B5A9"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4(16,7%)</w:t>
            </w:r>
          </w:p>
        </w:tc>
        <w:tc>
          <w:tcPr>
            <w:tcW w:w="2405" w:type="dxa"/>
            <w:tcBorders>
              <w:top w:val="nil"/>
              <w:left w:val="nil"/>
              <w:bottom w:val="nil"/>
              <w:right w:val="nil"/>
            </w:tcBorders>
          </w:tcPr>
          <w:p w14:paraId="115AE672"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494240" w:rsidRPr="00321CBD" w14:paraId="5402FC0A" w14:textId="77777777" w:rsidTr="00494240">
        <w:tc>
          <w:tcPr>
            <w:tcW w:w="2518" w:type="dxa"/>
            <w:tcBorders>
              <w:top w:val="nil"/>
              <w:left w:val="nil"/>
              <w:bottom w:val="nil"/>
              <w:right w:val="nil"/>
            </w:tcBorders>
          </w:tcPr>
          <w:p w14:paraId="3644E15B" w14:textId="77777777" w:rsidR="00494240"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Neregulāri spotingi</w:t>
            </w:r>
          </w:p>
        </w:tc>
        <w:tc>
          <w:tcPr>
            <w:tcW w:w="2292" w:type="dxa"/>
            <w:tcBorders>
              <w:top w:val="nil"/>
              <w:left w:val="nil"/>
              <w:bottom w:val="nil"/>
              <w:right w:val="nil"/>
            </w:tcBorders>
          </w:tcPr>
          <w:p w14:paraId="0B862DB0" w14:textId="77777777" w:rsidR="00494240" w:rsidRPr="00321CBD" w:rsidRDefault="0049424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17</w:t>
            </w:r>
            <w:r w:rsidR="00C11A06" w:rsidRPr="00321CBD">
              <w:rPr>
                <w:rFonts w:ascii="Times New Roman" w:hAnsi="Times New Roman" w:cs="Times New Roman"/>
                <w:sz w:val="24"/>
                <w:szCs w:val="24"/>
                <w:lang w:val="lv-LV"/>
              </w:rPr>
              <w:t>(27%)</w:t>
            </w:r>
          </w:p>
        </w:tc>
        <w:tc>
          <w:tcPr>
            <w:tcW w:w="2405" w:type="dxa"/>
            <w:tcBorders>
              <w:top w:val="nil"/>
              <w:left w:val="nil"/>
              <w:bottom w:val="nil"/>
              <w:right w:val="nil"/>
            </w:tcBorders>
          </w:tcPr>
          <w:p w14:paraId="3593734F"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3(12,5%)</w:t>
            </w:r>
          </w:p>
        </w:tc>
        <w:tc>
          <w:tcPr>
            <w:tcW w:w="2405" w:type="dxa"/>
            <w:tcBorders>
              <w:top w:val="nil"/>
              <w:left w:val="nil"/>
              <w:bottom w:val="nil"/>
              <w:right w:val="nil"/>
            </w:tcBorders>
          </w:tcPr>
          <w:p w14:paraId="74BB6447"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1(100%)</w:t>
            </w:r>
          </w:p>
        </w:tc>
      </w:tr>
      <w:tr w:rsidR="00494240" w:rsidRPr="00321CBD" w14:paraId="6CBFC465" w14:textId="77777777" w:rsidTr="00494240">
        <w:tc>
          <w:tcPr>
            <w:tcW w:w="2518" w:type="dxa"/>
            <w:tcBorders>
              <w:top w:val="nil"/>
              <w:left w:val="nil"/>
              <w:bottom w:val="nil"/>
              <w:right w:val="nil"/>
            </w:tcBorders>
          </w:tcPr>
          <w:p w14:paraId="118BFC67" w14:textId="77777777" w:rsidR="00494240"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Postkoitāla asiņošana</w:t>
            </w:r>
          </w:p>
        </w:tc>
        <w:tc>
          <w:tcPr>
            <w:tcW w:w="2292" w:type="dxa"/>
            <w:tcBorders>
              <w:top w:val="nil"/>
              <w:left w:val="nil"/>
              <w:bottom w:val="nil"/>
              <w:right w:val="nil"/>
            </w:tcBorders>
          </w:tcPr>
          <w:p w14:paraId="425EBD0E"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5(7,9%)</w:t>
            </w:r>
          </w:p>
        </w:tc>
        <w:tc>
          <w:tcPr>
            <w:tcW w:w="2405" w:type="dxa"/>
            <w:tcBorders>
              <w:top w:val="nil"/>
              <w:left w:val="nil"/>
              <w:bottom w:val="nil"/>
              <w:right w:val="nil"/>
            </w:tcBorders>
          </w:tcPr>
          <w:p w14:paraId="4787A06C"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c>
          <w:tcPr>
            <w:tcW w:w="2405" w:type="dxa"/>
            <w:tcBorders>
              <w:top w:val="nil"/>
              <w:left w:val="nil"/>
              <w:bottom w:val="nil"/>
              <w:right w:val="nil"/>
            </w:tcBorders>
          </w:tcPr>
          <w:p w14:paraId="39221D03"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494240" w:rsidRPr="00321CBD" w14:paraId="145AA23D" w14:textId="77777777" w:rsidTr="00494240">
        <w:tc>
          <w:tcPr>
            <w:tcW w:w="2518" w:type="dxa"/>
            <w:tcBorders>
              <w:top w:val="nil"/>
              <w:left w:val="nil"/>
              <w:bottom w:val="nil"/>
              <w:right w:val="nil"/>
            </w:tcBorders>
          </w:tcPr>
          <w:p w14:paraId="13DE3B66" w14:textId="77777777" w:rsidR="00494240"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Premenstruāli izd.</w:t>
            </w:r>
          </w:p>
        </w:tc>
        <w:tc>
          <w:tcPr>
            <w:tcW w:w="2292" w:type="dxa"/>
            <w:tcBorders>
              <w:top w:val="nil"/>
              <w:left w:val="nil"/>
              <w:bottom w:val="nil"/>
              <w:right w:val="nil"/>
            </w:tcBorders>
          </w:tcPr>
          <w:p w14:paraId="4F997053"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11(17,5%)</w:t>
            </w:r>
          </w:p>
        </w:tc>
        <w:tc>
          <w:tcPr>
            <w:tcW w:w="2405" w:type="dxa"/>
            <w:tcBorders>
              <w:top w:val="nil"/>
              <w:left w:val="nil"/>
              <w:bottom w:val="nil"/>
              <w:right w:val="nil"/>
            </w:tcBorders>
          </w:tcPr>
          <w:p w14:paraId="4C7709CD"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3(12,5%)</w:t>
            </w:r>
          </w:p>
        </w:tc>
        <w:tc>
          <w:tcPr>
            <w:tcW w:w="2405" w:type="dxa"/>
            <w:tcBorders>
              <w:top w:val="nil"/>
              <w:left w:val="nil"/>
              <w:bottom w:val="nil"/>
              <w:right w:val="nil"/>
            </w:tcBorders>
          </w:tcPr>
          <w:p w14:paraId="0DBFDBA9" w14:textId="77777777" w:rsidR="00494240" w:rsidRPr="00321CBD" w:rsidRDefault="00C11A0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4D676F" w:rsidRPr="00321CBD" w14:paraId="3E534BAB" w14:textId="77777777" w:rsidTr="00494240">
        <w:tc>
          <w:tcPr>
            <w:tcW w:w="2518" w:type="dxa"/>
            <w:tcBorders>
              <w:top w:val="nil"/>
              <w:left w:val="nil"/>
              <w:bottom w:val="single" w:sz="18" w:space="0" w:color="009900"/>
              <w:right w:val="nil"/>
            </w:tcBorders>
          </w:tcPr>
          <w:p w14:paraId="740EA858" w14:textId="77777777" w:rsidR="004D676F" w:rsidRPr="00321CBD" w:rsidRDefault="00494240"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Postmenstruāli izd.</w:t>
            </w:r>
          </w:p>
        </w:tc>
        <w:tc>
          <w:tcPr>
            <w:tcW w:w="2292" w:type="dxa"/>
            <w:tcBorders>
              <w:top w:val="nil"/>
              <w:left w:val="nil"/>
              <w:bottom w:val="nil"/>
              <w:right w:val="nil"/>
            </w:tcBorders>
          </w:tcPr>
          <w:p w14:paraId="715D1BEC" w14:textId="77777777" w:rsidR="004D676F" w:rsidRPr="00321CBD" w:rsidRDefault="00853F8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14(22,2%)</w:t>
            </w:r>
          </w:p>
        </w:tc>
        <w:tc>
          <w:tcPr>
            <w:tcW w:w="2405" w:type="dxa"/>
            <w:tcBorders>
              <w:top w:val="nil"/>
              <w:left w:val="nil"/>
              <w:bottom w:val="nil"/>
              <w:right w:val="nil"/>
            </w:tcBorders>
          </w:tcPr>
          <w:p w14:paraId="1C051290" w14:textId="77777777" w:rsidR="004D676F" w:rsidRPr="00321CBD" w:rsidRDefault="00853F8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3(12,5%)</w:t>
            </w:r>
          </w:p>
        </w:tc>
        <w:tc>
          <w:tcPr>
            <w:tcW w:w="2405" w:type="dxa"/>
            <w:tcBorders>
              <w:top w:val="nil"/>
              <w:left w:val="nil"/>
              <w:bottom w:val="nil"/>
              <w:right w:val="nil"/>
            </w:tcBorders>
          </w:tcPr>
          <w:p w14:paraId="09A5F276" w14:textId="77777777" w:rsidR="004D676F" w:rsidRPr="00321CBD" w:rsidRDefault="00853F8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4D676F" w:rsidRPr="007B020D" w14:paraId="104BA77F" w14:textId="77777777" w:rsidTr="0088363B">
        <w:tc>
          <w:tcPr>
            <w:tcW w:w="9620" w:type="dxa"/>
            <w:gridSpan w:val="4"/>
            <w:tcBorders>
              <w:top w:val="single" w:sz="18" w:space="0" w:color="009900"/>
              <w:left w:val="nil"/>
              <w:bottom w:val="nil"/>
              <w:right w:val="nil"/>
            </w:tcBorders>
          </w:tcPr>
          <w:p w14:paraId="1C8ABECF" w14:textId="77777777" w:rsidR="004D676F" w:rsidRPr="00321CBD" w:rsidRDefault="004D676F"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p w14:paraId="11C6BCF4" w14:textId="005FEAB6" w:rsidR="00853F8A" w:rsidRPr="00321CBD" w:rsidRDefault="00853F8A" w:rsidP="007B020D">
            <w:pPr>
              <w:spacing w:after="200"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**Kumulatīvs procents ir &gt;100%, jo vairākām pacientēm bija vairāk</w:t>
            </w:r>
            <w:r w:rsidR="006B7C07">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k</w:t>
            </w:r>
            <w:r w:rsidR="006B7C07">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viena minēta </w:t>
            </w:r>
            <w:r w:rsidR="006B7C07" w:rsidRPr="00321CBD">
              <w:rPr>
                <w:rFonts w:ascii="Times New Roman" w:hAnsi="Times New Roman" w:cs="Times New Roman"/>
                <w:sz w:val="24"/>
                <w:szCs w:val="24"/>
                <w:lang w:val="lv-LV"/>
              </w:rPr>
              <w:t>sūdzība</w:t>
            </w:r>
          </w:p>
        </w:tc>
      </w:tr>
    </w:tbl>
    <w:p w14:paraId="41657839" w14:textId="77777777" w:rsidR="004D676F" w:rsidRPr="00321CBD" w:rsidRDefault="004D676F" w:rsidP="00F07DD9">
      <w:pPr>
        <w:spacing w:line="360" w:lineRule="auto"/>
        <w:jc w:val="both"/>
        <w:rPr>
          <w:rFonts w:ascii="Times New Roman" w:hAnsi="Times New Roman" w:cs="Times New Roman"/>
          <w:sz w:val="24"/>
          <w:szCs w:val="24"/>
          <w:lang w:val="lv-LV"/>
        </w:rPr>
      </w:pPr>
    </w:p>
    <w:p w14:paraId="6CC1E850" w14:textId="7ABBFFB7" w:rsidR="000D3620" w:rsidRPr="00321CBD" w:rsidRDefault="0097480E" w:rsidP="00F07DD9">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w:t>
      </w:r>
      <w:r w:rsidR="007E7863" w:rsidRPr="00321CBD">
        <w:rPr>
          <w:rFonts w:ascii="Times New Roman" w:hAnsi="Times New Roman" w:cs="Times New Roman"/>
          <w:i/>
          <w:sz w:val="24"/>
          <w:szCs w:val="24"/>
          <w:lang w:val="lv-LV"/>
        </w:rPr>
        <w:t xml:space="preserve"> - </w:t>
      </w:r>
      <w:r w:rsidRPr="00321CBD">
        <w:rPr>
          <w:rFonts w:ascii="Times New Roman" w:hAnsi="Times New Roman" w:cs="Times New Roman"/>
          <w:i/>
          <w:sz w:val="24"/>
          <w:szCs w:val="24"/>
          <w:lang w:val="lv-LV"/>
        </w:rPr>
        <w:t>Polips.</w:t>
      </w:r>
      <w:r w:rsidR="007E7863" w:rsidRPr="00321CBD">
        <w:rPr>
          <w:rFonts w:ascii="Times New Roman" w:hAnsi="Times New Roman" w:cs="Times New Roman"/>
          <w:i/>
          <w:sz w:val="24"/>
          <w:szCs w:val="24"/>
          <w:lang w:val="lv-LV"/>
        </w:rPr>
        <w:t xml:space="preserve"> </w:t>
      </w:r>
    </w:p>
    <w:p w14:paraId="65FA3B72" w14:textId="0A235688" w:rsidR="006448B5" w:rsidRPr="00321CBD" w:rsidRDefault="007E7863" w:rsidP="006448B5">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No 172 izanalizētām vēsturēm 144 (83,7%) bija saistītas ar endometrija polipu. </w:t>
      </w:r>
      <w:r w:rsidR="00607158" w:rsidRPr="00321CBD">
        <w:rPr>
          <w:rFonts w:ascii="Times New Roman" w:hAnsi="Times New Roman" w:cs="Times New Roman"/>
          <w:sz w:val="24"/>
          <w:szCs w:val="24"/>
          <w:lang w:val="lv-LV"/>
        </w:rPr>
        <w:t xml:space="preserve">Histoloģiski endometrija polips bija </w:t>
      </w:r>
      <w:r w:rsidR="00ED18FB">
        <w:rPr>
          <w:rFonts w:ascii="Times New Roman" w:hAnsi="Times New Roman" w:cs="Times New Roman"/>
          <w:sz w:val="24"/>
          <w:szCs w:val="24"/>
          <w:lang w:val="lv-LV"/>
        </w:rPr>
        <w:t>apstiprināts</w:t>
      </w:r>
      <w:r w:rsidR="00ED18FB" w:rsidRPr="00321CBD">
        <w:rPr>
          <w:rFonts w:ascii="Times New Roman" w:hAnsi="Times New Roman" w:cs="Times New Roman"/>
          <w:sz w:val="24"/>
          <w:szCs w:val="24"/>
          <w:lang w:val="lv-LV"/>
        </w:rPr>
        <w:t xml:space="preserve"> </w:t>
      </w:r>
      <w:r w:rsidR="00607158" w:rsidRPr="00321CBD">
        <w:rPr>
          <w:rFonts w:ascii="Times New Roman" w:hAnsi="Times New Roman" w:cs="Times New Roman"/>
          <w:sz w:val="24"/>
          <w:szCs w:val="24"/>
          <w:lang w:val="lv-LV"/>
        </w:rPr>
        <w:t xml:space="preserve">132 (91,7%) gadījumos. </w:t>
      </w:r>
      <w:r w:rsidR="008E536B" w:rsidRPr="00321CBD">
        <w:rPr>
          <w:rFonts w:ascii="Times New Roman" w:hAnsi="Times New Roman" w:cs="Times New Roman"/>
          <w:sz w:val="24"/>
          <w:szCs w:val="24"/>
          <w:lang w:val="lv-LV"/>
        </w:rPr>
        <w:t>22,7% sieviešu ar polipu bija menopauz</w:t>
      </w:r>
      <w:r w:rsidR="00ED18FB">
        <w:rPr>
          <w:rFonts w:ascii="Times New Roman" w:hAnsi="Times New Roman" w:cs="Times New Roman"/>
          <w:sz w:val="24"/>
          <w:szCs w:val="24"/>
          <w:lang w:val="lv-LV"/>
        </w:rPr>
        <w:t>es periodā</w:t>
      </w:r>
      <w:r w:rsidR="008E536B" w:rsidRPr="00321CBD">
        <w:rPr>
          <w:rFonts w:ascii="Times New Roman" w:hAnsi="Times New Roman" w:cs="Times New Roman"/>
          <w:sz w:val="24"/>
          <w:szCs w:val="24"/>
          <w:lang w:val="lv-LV"/>
        </w:rPr>
        <w:t>. Sadalot pacientes pa vecuma grupām</w:t>
      </w:r>
      <w:r w:rsidR="00B62FDF">
        <w:rPr>
          <w:rFonts w:ascii="Times New Roman" w:hAnsi="Times New Roman" w:cs="Times New Roman"/>
          <w:sz w:val="24"/>
          <w:szCs w:val="24"/>
          <w:lang w:val="lv-LV"/>
        </w:rPr>
        <w:t>,</w:t>
      </w:r>
      <w:r w:rsidR="008E536B" w:rsidRPr="00321CBD">
        <w:rPr>
          <w:rFonts w:ascii="Times New Roman" w:hAnsi="Times New Roman" w:cs="Times New Roman"/>
          <w:sz w:val="24"/>
          <w:szCs w:val="24"/>
          <w:lang w:val="lv-LV"/>
        </w:rPr>
        <w:t xml:space="preserve"> 75</w:t>
      </w:r>
      <w:r w:rsidR="00ED18FB">
        <w:rPr>
          <w:rFonts w:ascii="Times New Roman" w:hAnsi="Times New Roman" w:cs="Times New Roman"/>
          <w:sz w:val="24"/>
          <w:szCs w:val="24"/>
          <w:lang w:val="lv-LV"/>
        </w:rPr>
        <w:t xml:space="preserve"> </w:t>
      </w:r>
      <w:r w:rsidR="008E536B" w:rsidRPr="00321CBD">
        <w:rPr>
          <w:rFonts w:ascii="Times New Roman" w:hAnsi="Times New Roman" w:cs="Times New Roman"/>
          <w:sz w:val="24"/>
          <w:szCs w:val="24"/>
          <w:lang w:val="lv-LV"/>
        </w:rPr>
        <w:t xml:space="preserve">(56,8%) bija vecumā līdz 45 gadi, 39 (29,5%) vecumā no 46 līdz 55 gadi un 18 (13,6%) vecumā virs 55 gadiem. </w:t>
      </w:r>
      <w:r w:rsidR="000D3620" w:rsidRPr="00321CBD">
        <w:rPr>
          <w:rFonts w:ascii="Times New Roman" w:hAnsi="Times New Roman" w:cs="Times New Roman"/>
          <w:sz w:val="24"/>
          <w:szCs w:val="24"/>
          <w:lang w:val="lv-LV"/>
        </w:rPr>
        <w:t>Tikai 66,7% gadījumos polipa klātbūtne manifistējās ar dažādām sūdzībām. Salīdzinot menstruējošas sievietes un sievietes menopauz</w:t>
      </w:r>
      <w:r w:rsidR="00845FF1">
        <w:rPr>
          <w:rFonts w:ascii="Times New Roman" w:hAnsi="Times New Roman" w:cs="Times New Roman"/>
          <w:sz w:val="24"/>
          <w:szCs w:val="24"/>
          <w:lang w:val="lv-LV"/>
        </w:rPr>
        <w:t>es periodā</w:t>
      </w:r>
      <w:r w:rsidR="000D3620" w:rsidRPr="00321CBD">
        <w:rPr>
          <w:rFonts w:ascii="Times New Roman" w:hAnsi="Times New Roman" w:cs="Times New Roman"/>
          <w:sz w:val="24"/>
          <w:szCs w:val="24"/>
          <w:lang w:val="lv-LV"/>
        </w:rPr>
        <w:t>, pirm</w:t>
      </w:r>
      <w:r w:rsidR="00B62FDF">
        <w:rPr>
          <w:rFonts w:ascii="Times New Roman" w:hAnsi="Times New Roman" w:cs="Times New Roman"/>
          <w:sz w:val="24"/>
          <w:szCs w:val="24"/>
          <w:lang w:val="lv-LV"/>
        </w:rPr>
        <w:t>aj</w:t>
      </w:r>
      <w:r w:rsidR="000D3620" w:rsidRPr="00321CBD">
        <w:rPr>
          <w:rFonts w:ascii="Times New Roman" w:hAnsi="Times New Roman" w:cs="Times New Roman"/>
          <w:sz w:val="24"/>
          <w:szCs w:val="24"/>
          <w:lang w:val="lv-LV"/>
        </w:rPr>
        <w:t xml:space="preserve">ām polips statistiski ticami biežāk </w:t>
      </w:r>
      <w:r w:rsidR="00785DF8">
        <w:rPr>
          <w:rFonts w:ascii="Times New Roman" w:hAnsi="Times New Roman" w:cs="Times New Roman"/>
          <w:sz w:val="24"/>
          <w:szCs w:val="24"/>
          <w:lang w:val="lv-LV"/>
        </w:rPr>
        <w:t>izpaužas</w:t>
      </w:r>
      <w:r w:rsidR="000D3620" w:rsidRPr="00321CBD">
        <w:rPr>
          <w:rFonts w:ascii="Times New Roman" w:hAnsi="Times New Roman" w:cs="Times New Roman"/>
          <w:sz w:val="24"/>
          <w:szCs w:val="24"/>
          <w:lang w:val="lv-LV"/>
        </w:rPr>
        <w:t xml:space="preserve"> ar sūdzībām nekā sievietēm menopauzē</w:t>
      </w:r>
      <w:r w:rsidR="00840C06" w:rsidRPr="00321CBD">
        <w:rPr>
          <w:rFonts w:ascii="Times New Roman" w:hAnsi="Times New Roman" w:cs="Times New Roman"/>
          <w:sz w:val="24"/>
          <w:szCs w:val="24"/>
          <w:lang w:val="lv-LV"/>
        </w:rPr>
        <w:t xml:space="preserve">, </w:t>
      </w:r>
      <w:r w:rsidR="006B7C07" w:rsidRPr="00321CBD">
        <w:rPr>
          <w:rFonts w:ascii="Times New Roman" w:hAnsi="Times New Roman" w:cs="Times New Roman"/>
          <w:sz w:val="24"/>
          <w:szCs w:val="24"/>
          <w:lang w:val="lv-LV"/>
        </w:rPr>
        <w:t xml:space="preserve">attiecīgi </w:t>
      </w:r>
      <w:r w:rsidR="00840C06" w:rsidRPr="00321CBD">
        <w:rPr>
          <w:rFonts w:ascii="Times New Roman" w:hAnsi="Times New Roman" w:cs="Times New Roman"/>
          <w:sz w:val="24"/>
          <w:szCs w:val="24"/>
          <w:lang w:val="lv-LV"/>
        </w:rPr>
        <w:t>85,2%  un 14,8%. (</w:t>
      </w:r>
      <w:r w:rsidR="001839F1" w:rsidRPr="00321CBD">
        <w:rPr>
          <w:rFonts w:ascii="Times New Roman" w:hAnsi="Times New Roman" w:cs="Times New Roman"/>
          <w:i/>
          <w:sz w:val="24"/>
          <w:szCs w:val="24"/>
          <w:lang w:val="lv-LV"/>
        </w:rPr>
        <w:t>p</w:t>
      </w:r>
      <w:r w:rsidR="00A42E68">
        <w:rPr>
          <w:rFonts w:ascii="Times New Roman" w:hAnsi="Times New Roman" w:cs="Times New Roman"/>
          <w:sz w:val="24"/>
          <w:szCs w:val="24"/>
          <w:lang w:val="lv-LV"/>
        </w:rPr>
        <w:t>=</w:t>
      </w:r>
      <w:r w:rsidR="00840C06" w:rsidRPr="00EE7FF0">
        <w:rPr>
          <w:rFonts w:ascii="Times New Roman" w:hAnsi="Times New Roman" w:cs="Times New Roman"/>
          <w:i/>
          <w:sz w:val="24"/>
          <w:szCs w:val="24"/>
          <w:lang w:val="lv-LV"/>
        </w:rPr>
        <w:t>0,002</w:t>
      </w:r>
      <w:r w:rsidR="00840C06" w:rsidRPr="00321CBD">
        <w:rPr>
          <w:rFonts w:ascii="Times New Roman" w:hAnsi="Times New Roman" w:cs="Times New Roman"/>
          <w:sz w:val="24"/>
          <w:szCs w:val="24"/>
          <w:lang w:val="lv-LV"/>
        </w:rPr>
        <w:t>).</w:t>
      </w:r>
      <w:r w:rsidR="001839F1" w:rsidRPr="00321CBD">
        <w:rPr>
          <w:rFonts w:ascii="Times New Roman" w:hAnsi="Times New Roman" w:cs="Times New Roman"/>
          <w:sz w:val="24"/>
          <w:szCs w:val="24"/>
          <w:lang w:val="lv-LV"/>
        </w:rPr>
        <w:t xml:space="preserve"> </w:t>
      </w:r>
      <w:r w:rsidR="00840C06" w:rsidRPr="00321CBD">
        <w:rPr>
          <w:rFonts w:ascii="Times New Roman" w:hAnsi="Times New Roman" w:cs="Times New Roman"/>
          <w:sz w:val="24"/>
          <w:szCs w:val="24"/>
          <w:lang w:val="lv-LV"/>
        </w:rPr>
        <w:t xml:space="preserve"> </w:t>
      </w:r>
      <w:r w:rsidR="00C53283" w:rsidRPr="00321CBD">
        <w:rPr>
          <w:rFonts w:ascii="Times New Roman" w:hAnsi="Times New Roman" w:cs="Times New Roman"/>
          <w:sz w:val="24"/>
          <w:szCs w:val="24"/>
          <w:lang w:val="lv-LV"/>
        </w:rPr>
        <w:t>S</w:t>
      </w:r>
      <w:r w:rsidR="00B62FDF">
        <w:rPr>
          <w:rFonts w:ascii="Times New Roman" w:hAnsi="Times New Roman" w:cs="Times New Roman"/>
          <w:sz w:val="24"/>
          <w:szCs w:val="24"/>
          <w:lang w:val="lv-LV"/>
        </w:rPr>
        <w:t>ū</w:t>
      </w:r>
      <w:r w:rsidR="00C53283" w:rsidRPr="00321CBD">
        <w:rPr>
          <w:rFonts w:ascii="Times New Roman" w:hAnsi="Times New Roman" w:cs="Times New Roman"/>
          <w:sz w:val="24"/>
          <w:szCs w:val="24"/>
          <w:lang w:val="lv-LV"/>
        </w:rPr>
        <w:t>dzības par asiņošanu no dzimumceļiem bija biežākā izteiktā sūdzība gan menopauzes vecuma sievietēm, gan ne</w:t>
      </w:r>
      <w:r w:rsidR="00845FF1">
        <w:rPr>
          <w:rFonts w:ascii="Times New Roman" w:hAnsi="Times New Roman" w:cs="Times New Roman"/>
          <w:sz w:val="24"/>
          <w:szCs w:val="24"/>
          <w:lang w:val="lv-LV"/>
        </w:rPr>
        <w:t xml:space="preserve"> </w:t>
      </w:r>
      <w:r w:rsidR="00C53283" w:rsidRPr="00321CBD">
        <w:rPr>
          <w:rFonts w:ascii="Times New Roman" w:hAnsi="Times New Roman" w:cs="Times New Roman"/>
          <w:sz w:val="24"/>
          <w:szCs w:val="24"/>
          <w:lang w:val="lv-LV"/>
        </w:rPr>
        <w:t xml:space="preserve">menopauzes. Statistiski ticama atšķirība netika atrasta ne starp šīm divām </w:t>
      </w:r>
      <w:r w:rsidR="001D5E07" w:rsidRPr="00321CBD">
        <w:rPr>
          <w:rFonts w:ascii="Times New Roman" w:hAnsi="Times New Roman" w:cs="Times New Roman"/>
          <w:sz w:val="24"/>
          <w:szCs w:val="24"/>
          <w:lang w:val="lv-LV"/>
        </w:rPr>
        <w:t xml:space="preserve"> </w:t>
      </w:r>
      <w:r w:rsidR="006448B5" w:rsidRPr="00321CBD">
        <w:rPr>
          <w:rFonts w:ascii="Times New Roman" w:hAnsi="Times New Roman" w:cs="Times New Roman"/>
          <w:sz w:val="24"/>
          <w:szCs w:val="24"/>
          <w:lang w:val="lv-LV"/>
        </w:rPr>
        <w:t>kategorijām</w:t>
      </w:r>
      <w:r w:rsidR="00C53283" w:rsidRPr="00321CBD">
        <w:rPr>
          <w:rFonts w:ascii="Times New Roman" w:hAnsi="Times New Roman" w:cs="Times New Roman"/>
          <w:sz w:val="24"/>
          <w:szCs w:val="24"/>
          <w:lang w:val="lv-LV"/>
        </w:rPr>
        <w:t>, ne sadalot sievietes pēc vecuma grupām. Sīkāks izklāsts redzams Tabulā 4. un Tabulā 5.</w:t>
      </w:r>
    </w:p>
    <w:p w14:paraId="4BC78451" w14:textId="77777777" w:rsidR="006448B5" w:rsidRPr="00321CBD" w:rsidRDefault="006448B5">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p w14:paraId="402BF397" w14:textId="77777777" w:rsidR="0097480E" w:rsidRPr="00321CBD" w:rsidRDefault="0097480E" w:rsidP="006448B5">
      <w:pPr>
        <w:spacing w:line="36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660"/>
        <w:gridCol w:w="2693"/>
        <w:gridCol w:w="2552"/>
        <w:gridCol w:w="1715"/>
      </w:tblGrid>
      <w:tr w:rsidR="00C53283" w:rsidRPr="00090782" w14:paraId="59B701E0" w14:textId="77777777" w:rsidTr="0088363B">
        <w:tc>
          <w:tcPr>
            <w:tcW w:w="9620" w:type="dxa"/>
            <w:gridSpan w:val="4"/>
            <w:tcBorders>
              <w:top w:val="single" w:sz="24" w:space="0" w:color="009900"/>
              <w:left w:val="nil"/>
              <w:bottom w:val="single" w:sz="24" w:space="0" w:color="009900"/>
              <w:right w:val="nil"/>
            </w:tcBorders>
          </w:tcPr>
          <w:p w14:paraId="712CAB5D" w14:textId="39BC2320" w:rsidR="00C53283" w:rsidRPr="00321CBD" w:rsidRDefault="00C53283" w:rsidP="00C53283">
            <w:pPr>
              <w:spacing w:after="200"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 xml:space="preserve">Tabula 4. </w:t>
            </w:r>
            <w:r w:rsidR="00845FF1" w:rsidRPr="00321CBD">
              <w:rPr>
                <w:rFonts w:ascii="Times New Roman" w:hAnsi="Times New Roman" w:cs="Times New Roman"/>
                <w:b/>
                <w:sz w:val="24"/>
                <w:szCs w:val="24"/>
                <w:lang w:val="lv-LV"/>
              </w:rPr>
              <w:t>Sūdzību</w:t>
            </w:r>
            <w:r w:rsidRPr="00321CBD">
              <w:rPr>
                <w:rFonts w:ascii="Times New Roman" w:hAnsi="Times New Roman" w:cs="Times New Roman"/>
                <w:b/>
                <w:sz w:val="24"/>
                <w:szCs w:val="24"/>
                <w:lang w:val="lv-LV"/>
              </w:rPr>
              <w:t xml:space="preserve"> par asiņošanu no dzimumceļiem esamība atkarībā no menopauzes</w:t>
            </w:r>
          </w:p>
        </w:tc>
      </w:tr>
      <w:tr w:rsidR="00C53283" w:rsidRPr="00321CBD" w14:paraId="13FC1CAD" w14:textId="77777777" w:rsidTr="00C53283">
        <w:trPr>
          <w:gridAfter w:val="1"/>
          <w:wAfter w:w="1715" w:type="dxa"/>
        </w:trPr>
        <w:tc>
          <w:tcPr>
            <w:tcW w:w="2660" w:type="dxa"/>
            <w:tcBorders>
              <w:top w:val="single" w:sz="24" w:space="0" w:color="009900"/>
              <w:left w:val="nil"/>
              <w:bottom w:val="nil"/>
              <w:right w:val="nil"/>
            </w:tcBorders>
          </w:tcPr>
          <w:p w14:paraId="5CCFC836" w14:textId="77777777" w:rsidR="00C53283" w:rsidRPr="00321CBD" w:rsidRDefault="00C53283" w:rsidP="0088363B">
            <w:pPr>
              <w:spacing w:line="360" w:lineRule="auto"/>
              <w:jc w:val="both"/>
              <w:rPr>
                <w:rFonts w:ascii="Times New Roman" w:hAnsi="Times New Roman" w:cs="Times New Roman"/>
                <w:sz w:val="24"/>
                <w:szCs w:val="24"/>
                <w:lang w:val="lv-LV"/>
              </w:rPr>
            </w:pPr>
          </w:p>
        </w:tc>
        <w:tc>
          <w:tcPr>
            <w:tcW w:w="2693" w:type="dxa"/>
            <w:tcBorders>
              <w:top w:val="single" w:sz="18" w:space="0" w:color="009900"/>
              <w:left w:val="nil"/>
              <w:bottom w:val="nil"/>
              <w:right w:val="nil"/>
            </w:tcBorders>
          </w:tcPr>
          <w:p w14:paraId="2A40B7A7" w14:textId="77777777" w:rsidR="00C53283" w:rsidRPr="00321CBD" w:rsidRDefault="00C53283"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Sūdzības par asiņošanu</w:t>
            </w:r>
          </w:p>
        </w:tc>
        <w:tc>
          <w:tcPr>
            <w:tcW w:w="2552" w:type="dxa"/>
            <w:tcBorders>
              <w:top w:val="single" w:sz="18" w:space="0" w:color="009900"/>
              <w:left w:val="nil"/>
              <w:bottom w:val="nil"/>
              <w:right w:val="nil"/>
            </w:tcBorders>
          </w:tcPr>
          <w:p w14:paraId="0FD25B10" w14:textId="77777777" w:rsidR="00C53283" w:rsidRPr="00321CBD" w:rsidRDefault="00C53283"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Citas sūdzības</w:t>
            </w:r>
          </w:p>
        </w:tc>
      </w:tr>
      <w:tr w:rsidR="00C53283" w:rsidRPr="00321CBD" w14:paraId="004492FF" w14:textId="77777777" w:rsidTr="00C53283">
        <w:trPr>
          <w:gridAfter w:val="1"/>
          <w:wAfter w:w="1715" w:type="dxa"/>
        </w:trPr>
        <w:tc>
          <w:tcPr>
            <w:tcW w:w="2660" w:type="dxa"/>
            <w:tcBorders>
              <w:top w:val="nil"/>
              <w:left w:val="nil"/>
              <w:bottom w:val="nil"/>
              <w:right w:val="nil"/>
            </w:tcBorders>
          </w:tcPr>
          <w:p w14:paraId="49E4E49A" w14:textId="77777777" w:rsidR="00C53283" w:rsidRPr="00321CBD" w:rsidRDefault="00C53283"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Menopauze</w:t>
            </w:r>
          </w:p>
        </w:tc>
        <w:tc>
          <w:tcPr>
            <w:tcW w:w="2693" w:type="dxa"/>
            <w:tcBorders>
              <w:top w:val="nil"/>
              <w:left w:val="nil"/>
              <w:bottom w:val="nil"/>
              <w:right w:val="nil"/>
            </w:tcBorders>
          </w:tcPr>
          <w:p w14:paraId="6D22B3EC" w14:textId="77777777" w:rsidR="00C53283" w:rsidRPr="00321CBD" w:rsidRDefault="00C53283" w:rsidP="00C53283">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10 (76,9%)</w:t>
            </w:r>
          </w:p>
        </w:tc>
        <w:tc>
          <w:tcPr>
            <w:tcW w:w="2552" w:type="dxa"/>
            <w:tcBorders>
              <w:top w:val="nil"/>
              <w:left w:val="nil"/>
              <w:bottom w:val="nil"/>
              <w:right w:val="nil"/>
            </w:tcBorders>
          </w:tcPr>
          <w:p w14:paraId="675D459D" w14:textId="77777777" w:rsidR="00C53283" w:rsidRPr="00321CBD" w:rsidRDefault="00C53283" w:rsidP="00C53283">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 (23,1%)</w:t>
            </w:r>
          </w:p>
        </w:tc>
      </w:tr>
      <w:tr w:rsidR="00C53283" w:rsidRPr="00321CBD" w14:paraId="01E226D8" w14:textId="77777777" w:rsidTr="00C53283">
        <w:trPr>
          <w:gridAfter w:val="1"/>
          <w:wAfter w:w="1715" w:type="dxa"/>
        </w:trPr>
        <w:tc>
          <w:tcPr>
            <w:tcW w:w="2660" w:type="dxa"/>
            <w:tcBorders>
              <w:top w:val="nil"/>
              <w:left w:val="nil"/>
              <w:bottom w:val="nil"/>
              <w:right w:val="nil"/>
            </w:tcBorders>
          </w:tcPr>
          <w:p w14:paraId="61C7F6E2" w14:textId="77777777" w:rsidR="00C53283" w:rsidRPr="00321CBD" w:rsidRDefault="00C53283"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Menstruējošas sievietes</w:t>
            </w:r>
          </w:p>
        </w:tc>
        <w:tc>
          <w:tcPr>
            <w:tcW w:w="2693" w:type="dxa"/>
            <w:tcBorders>
              <w:top w:val="nil"/>
              <w:left w:val="nil"/>
              <w:bottom w:val="nil"/>
              <w:right w:val="nil"/>
            </w:tcBorders>
          </w:tcPr>
          <w:p w14:paraId="4F57296C" w14:textId="77777777" w:rsidR="00C53283" w:rsidRPr="00321CBD" w:rsidRDefault="00C53283"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70 (</w:t>
            </w:r>
            <w:r w:rsidR="006448B5" w:rsidRPr="00321CBD">
              <w:rPr>
                <w:rFonts w:ascii="Times New Roman" w:hAnsi="Times New Roman" w:cs="Times New Roman"/>
                <w:sz w:val="24"/>
                <w:szCs w:val="24"/>
                <w:lang w:val="lv-LV"/>
              </w:rPr>
              <w:t>93,3%</w:t>
            </w:r>
            <w:r w:rsidRPr="00321CBD">
              <w:rPr>
                <w:rFonts w:ascii="Times New Roman" w:hAnsi="Times New Roman" w:cs="Times New Roman"/>
                <w:sz w:val="24"/>
                <w:szCs w:val="24"/>
                <w:lang w:val="lv-LV"/>
              </w:rPr>
              <w:t>)</w:t>
            </w:r>
          </w:p>
        </w:tc>
        <w:tc>
          <w:tcPr>
            <w:tcW w:w="2552" w:type="dxa"/>
            <w:tcBorders>
              <w:top w:val="nil"/>
              <w:left w:val="nil"/>
              <w:bottom w:val="nil"/>
              <w:right w:val="nil"/>
            </w:tcBorders>
          </w:tcPr>
          <w:p w14:paraId="5DDCFCFC" w14:textId="77777777" w:rsidR="00C53283"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5 (6,7%)  </w:t>
            </w:r>
          </w:p>
        </w:tc>
      </w:tr>
      <w:tr w:rsidR="00C53283" w:rsidRPr="00321CBD" w14:paraId="6063D2A4" w14:textId="77777777" w:rsidTr="0088363B">
        <w:tc>
          <w:tcPr>
            <w:tcW w:w="9620" w:type="dxa"/>
            <w:gridSpan w:val="4"/>
            <w:tcBorders>
              <w:top w:val="single" w:sz="18" w:space="0" w:color="009900"/>
              <w:left w:val="nil"/>
              <w:bottom w:val="nil"/>
              <w:right w:val="nil"/>
            </w:tcBorders>
          </w:tcPr>
          <w:p w14:paraId="5BF8D108" w14:textId="77777777" w:rsidR="00C53283" w:rsidRPr="00321CBD" w:rsidRDefault="00C53283"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p w14:paraId="73781252" w14:textId="77777777" w:rsidR="00C53283" w:rsidRPr="00321CBD" w:rsidRDefault="00C53283" w:rsidP="006448B5">
            <w:pPr>
              <w:spacing w:line="360" w:lineRule="auto"/>
              <w:jc w:val="both"/>
              <w:rPr>
                <w:rFonts w:ascii="Times New Roman" w:hAnsi="Times New Roman" w:cs="Times New Roman"/>
                <w:i/>
                <w:sz w:val="24"/>
                <w:szCs w:val="24"/>
                <w:lang w:val="lv-LV"/>
              </w:rPr>
            </w:pPr>
            <w:r w:rsidRPr="00321CBD">
              <w:rPr>
                <w:rFonts w:ascii="Times New Roman" w:hAnsi="Times New Roman" w:cs="Times New Roman"/>
                <w:sz w:val="24"/>
                <w:szCs w:val="24"/>
                <w:lang w:val="lv-LV"/>
              </w:rPr>
              <w:t>**</w:t>
            </w:r>
            <w:r w:rsidR="006448B5" w:rsidRPr="00321CBD">
              <w:rPr>
                <w:rFonts w:ascii="Times New Roman" w:hAnsi="Times New Roman" w:cs="Times New Roman"/>
                <w:sz w:val="24"/>
                <w:szCs w:val="24"/>
                <w:lang w:val="lv-LV"/>
              </w:rPr>
              <w:t xml:space="preserve"> </w:t>
            </w:r>
            <w:r w:rsidR="006448B5" w:rsidRPr="00321CBD">
              <w:rPr>
                <w:rFonts w:ascii="Times New Roman" w:hAnsi="Times New Roman" w:cs="Times New Roman"/>
                <w:i/>
                <w:sz w:val="24"/>
                <w:szCs w:val="24"/>
                <w:lang w:val="lv-LV"/>
              </w:rPr>
              <w:t>p = 0,057</w:t>
            </w:r>
          </w:p>
        </w:tc>
      </w:tr>
    </w:tbl>
    <w:p w14:paraId="7094CB58" w14:textId="77777777" w:rsidR="00C53283" w:rsidRPr="00321CBD" w:rsidRDefault="00C53283" w:rsidP="00F07DD9">
      <w:pPr>
        <w:spacing w:line="360" w:lineRule="auto"/>
        <w:jc w:val="both"/>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518"/>
        <w:gridCol w:w="3260"/>
        <w:gridCol w:w="1701"/>
        <w:gridCol w:w="2141"/>
      </w:tblGrid>
      <w:tr w:rsidR="006448B5" w:rsidRPr="00090782" w14:paraId="0B0195CE" w14:textId="77777777" w:rsidTr="0088363B">
        <w:tc>
          <w:tcPr>
            <w:tcW w:w="9620" w:type="dxa"/>
            <w:gridSpan w:val="4"/>
            <w:tcBorders>
              <w:top w:val="single" w:sz="24" w:space="0" w:color="009900"/>
              <w:left w:val="nil"/>
              <w:bottom w:val="single" w:sz="24" w:space="0" w:color="009900"/>
              <w:right w:val="nil"/>
            </w:tcBorders>
          </w:tcPr>
          <w:p w14:paraId="1749F325" w14:textId="019C4CD8" w:rsidR="006448B5" w:rsidRPr="00321CBD" w:rsidRDefault="006448B5" w:rsidP="006448B5">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 xml:space="preserve">Tabula 5. </w:t>
            </w:r>
            <w:r w:rsidR="00845FF1" w:rsidRPr="00321CBD">
              <w:rPr>
                <w:rFonts w:ascii="Times New Roman" w:hAnsi="Times New Roman" w:cs="Times New Roman"/>
                <w:b/>
                <w:sz w:val="24"/>
                <w:szCs w:val="24"/>
                <w:lang w:val="lv-LV"/>
              </w:rPr>
              <w:t>Sūdzību</w:t>
            </w:r>
            <w:r w:rsidRPr="00321CBD">
              <w:rPr>
                <w:rFonts w:ascii="Times New Roman" w:hAnsi="Times New Roman" w:cs="Times New Roman"/>
                <w:b/>
                <w:sz w:val="24"/>
                <w:szCs w:val="24"/>
                <w:lang w:val="lv-LV"/>
              </w:rPr>
              <w:t xml:space="preserve"> par asiņošanu no dzimumceļiem esamības  sadalījums pa vecuma grupām.</w:t>
            </w:r>
          </w:p>
        </w:tc>
      </w:tr>
      <w:tr w:rsidR="006448B5" w:rsidRPr="00321CBD" w14:paraId="71868AC7" w14:textId="77777777" w:rsidTr="006448B5">
        <w:trPr>
          <w:gridAfter w:val="1"/>
          <w:wAfter w:w="2141" w:type="dxa"/>
        </w:trPr>
        <w:tc>
          <w:tcPr>
            <w:tcW w:w="2518" w:type="dxa"/>
            <w:tcBorders>
              <w:top w:val="single" w:sz="24" w:space="0" w:color="009900"/>
              <w:left w:val="nil"/>
              <w:bottom w:val="nil"/>
              <w:right w:val="nil"/>
            </w:tcBorders>
          </w:tcPr>
          <w:p w14:paraId="56DCBEA0" w14:textId="77777777" w:rsidR="006448B5" w:rsidRPr="00321CBD" w:rsidRDefault="006448B5" w:rsidP="0088363B">
            <w:pPr>
              <w:spacing w:line="360" w:lineRule="auto"/>
              <w:jc w:val="both"/>
              <w:rPr>
                <w:rFonts w:ascii="Times New Roman" w:hAnsi="Times New Roman" w:cs="Times New Roman"/>
                <w:sz w:val="24"/>
                <w:szCs w:val="24"/>
                <w:lang w:val="lv-LV"/>
              </w:rPr>
            </w:pPr>
          </w:p>
        </w:tc>
        <w:tc>
          <w:tcPr>
            <w:tcW w:w="3260" w:type="dxa"/>
            <w:tcBorders>
              <w:top w:val="single" w:sz="18" w:space="0" w:color="009900"/>
              <w:left w:val="nil"/>
              <w:bottom w:val="nil"/>
              <w:right w:val="nil"/>
            </w:tcBorders>
          </w:tcPr>
          <w:p w14:paraId="6D89E234" w14:textId="77777777" w:rsidR="006448B5" w:rsidRPr="00321CBD" w:rsidRDefault="006448B5"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Sūdzības par asiņošanu</w:t>
            </w:r>
          </w:p>
        </w:tc>
        <w:tc>
          <w:tcPr>
            <w:tcW w:w="1701" w:type="dxa"/>
            <w:tcBorders>
              <w:top w:val="single" w:sz="18" w:space="0" w:color="009900"/>
              <w:left w:val="nil"/>
              <w:bottom w:val="nil"/>
              <w:right w:val="nil"/>
            </w:tcBorders>
          </w:tcPr>
          <w:p w14:paraId="5DB7DC2D" w14:textId="77777777" w:rsidR="006448B5" w:rsidRPr="00321CBD" w:rsidRDefault="006448B5"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Citas sūdzības</w:t>
            </w:r>
          </w:p>
        </w:tc>
      </w:tr>
      <w:tr w:rsidR="006448B5" w:rsidRPr="00321CBD" w14:paraId="302C6624" w14:textId="77777777" w:rsidTr="006448B5">
        <w:trPr>
          <w:gridAfter w:val="1"/>
          <w:wAfter w:w="2141" w:type="dxa"/>
        </w:trPr>
        <w:tc>
          <w:tcPr>
            <w:tcW w:w="2518" w:type="dxa"/>
            <w:tcBorders>
              <w:top w:val="nil"/>
              <w:left w:val="nil"/>
              <w:bottom w:val="nil"/>
              <w:right w:val="nil"/>
            </w:tcBorders>
          </w:tcPr>
          <w:p w14:paraId="5186EBBA" w14:textId="643CBDE7" w:rsidR="006448B5" w:rsidRPr="00321CBD" w:rsidRDefault="00845FF1"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Līdz</w:t>
            </w:r>
            <w:r w:rsidR="006448B5" w:rsidRPr="00321CBD">
              <w:rPr>
                <w:rFonts w:ascii="Times New Roman" w:hAnsi="Times New Roman" w:cs="Times New Roman"/>
                <w:b/>
                <w:sz w:val="24"/>
                <w:szCs w:val="24"/>
                <w:lang w:val="lv-LV"/>
              </w:rPr>
              <w:t xml:space="preserve"> 45 gadiem</w:t>
            </w:r>
          </w:p>
        </w:tc>
        <w:tc>
          <w:tcPr>
            <w:tcW w:w="3260" w:type="dxa"/>
            <w:tcBorders>
              <w:top w:val="nil"/>
              <w:left w:val="nil"/>
              <w:bottom w:val="nil"/>
              <w:right w:val="nil"/>
            </w:tcBorders>
          </w:tcPr>
          <w:p w14:paraId="400E2D17" w14:textId="77777777" w:rsidR="006448B5"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51 (94,4%)</w:t>
            </w:r>
          </w:p>
        </w:tc>
        <w:tc>
          <w:tcPr>
            <w:tcW w:w="1701" w:type="dxa"/>
            <w:tcBorders>
              <w:top w:val="nil"/>
              <w:left w:val="nil"/>
              <w:bottom w:val="nil"/>
              <w:right w:val="nil"/>
            </w:tcBorders>
          </w:tcPr>
          <w:p w14:paraId="7AE4A21F" w14:textId="77777777" w:rsidR="006448B5"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 (5,6%)</w:t>
            </w:r>
          </w:p>
        </w:tc>
      </w:tr>
      <w:tr w:rsidR="006448B5" w:rsidRPr="00321CBD" w14:paraId="71413554" w14:textId="77777777" w:rsidTr="006448B5">
        <w:trPr>
          <w:gridAfter w:val="1"/>
          <w:wAfter w:w="2141" w:type="dxa"/>
        </w:trPr>
        <w:tc>
          <w:tcPr>
            <w:tcW w:w="2518" w:type="dxa"/>
            <w:tcBorders>
              <w:top w:val="nil"/>
              <w:left w:val="nil"/>
              <w:bottom w:val="nil"/>
              <w:right w:val="nil"/>
            </w:tcBorders>
          </w:tcPr>
          <w:p w14:paraId="325735B1" w14:textId="77777777" w:rsidR="006448B5" w:rsidRPr="00321CBD" w:rsidRDefault="006448B5"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46-55 gadi</w:t>
            </w:r>
          </w:p>
        </w:tc>
        <w:tc>
          <w:tcPr>
            <w:tcW w:w="3260" w:type="dxa"/>
            <w:tcBorders>
              <w:top w:val="nil"/>
              <w:left w:val="nil"/>
              <w:bottom w:val="nil"/>
              <w:right w:val="nil"/>
            </w:tcBorders>
          </w:tcPr>
          <w:p w14:paraId="56B38D22" w14:textId="77777777" w:rsidR="006448B5"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24 (88,9%)</w:t>
            </w:r>
          </w:p>
        </w:tc>
        <w:tc>
          <w:tcPr>
            <w:tcW w:w="1701" w:type="dxa"/>
            <w:tcBorders>
              <w:top w:val="nil"/>
              <w:left w:val="nil"/>
              <w:bottom w:val="nil"/>
              <w:right w:val="nil"/>
            </w:tcBorders>
          </w:tcPr>
          <w:p w14:paraId="413A3648" w14:textId="77777777" w:rsidR="006448B5"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 (11,1%)</w:t>
            </w:r>
          </w:p>
        </w:tc>
      </w:tr>
      <w:tr w:rsidR="006448B5" w:rsidRPr="00321CBD" w14:paraId="0DA3E549" w14:textId="77777777" w:rsidTr="006448B5">
        <w:trPr>
          <w:gridAfter w:val="1"/>
          <w:wAfter w:w="2141" w:type="dxa"/>
        </w:trPr>
        <w:tc>
          <w:tcPr>
            <w:tcW w:w="2518" w:type="dxa"/>
            <w:tcBorders>
              <w:top w:val="nil"/>
              <w:left w:val="nil"/>
              <w:bottom w:val="nil"/>
              <w:right w:val="nil"/>
            </w:tcBorders>
          </w:tcPr>
          <w:p w14:paraId="6DA7DB2A" w14:textId="77777777" w:rsidR="006448B5" w:rsidRPr="00321CBD" w:rsidRDefault="006448B5"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Virs 55 gadiem</w:t>
            </w:r>
          </w:p>
        </w:tc>
        <w:tc>
          <w:tcPr>
            <w:tcW w:w="3260" w:type="dxa"/>
            <w:tcBorders>
              <w:top w:val="nil"/>
              <w:left w:val="nil"/>
              <w:bottom w:val="nil"/>
              <w:right w:val="nil"/>
            </w:tcBorders>
          </w:tcPr>
          <w:p w14:paraId="5B8FB9A4" w14:textId="77777777" w:rsidR="006448B5" w:rsidRPr="00321CBD" w:rsidRDefault="006448B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5 (71,4%)</w:t>
            </w:r>
          </w:p>
        </w:tc>
        <w:tc>
          <w:tcPr>
            <w:tcW w:w="1701" w:type="dxa"/>
            <w:tcBorders>
              <w:top w:val="nil"/>
              <w:left w:val="nil"/>
              <w:bottom w:val="nil"/>
              <w:right w:val="nil"/>
            </w:tcBorders>
          </w:tcPr>
          <w:p w14:paraId="33D1AB42" w14:textId="77777777" w:rsidR="006448B5" w:rsidRPr="00321CBD" w:rsidRDefault="006448B5" w:rsidP="006448B5">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2(28,6%%)</w:t>
            </w:r>
          </w:p>
        </w:tc>
      </w:tr>
      <w:tr w:rsidR="006448B5" w:rsidRPr="00321CBD" w14:paraId="5FD63A98" w14:textId="77777777" w:rsidTr="0088363B">
        <w:tc>
          <w:tcPr>
            <w:tcW w:w="9620" w:type="dxa"/>
            <w:gridSpan w:val="4"/>
            <w:tcBorders>
              <w:top w:val="single" w:sz="18" w:space="0" w:color="009900"/>
              <w:left w:val="nil"/>
              <w:bottom w:val="nil"/>
              <w:right w:val="nil"/>
            </w:tcBorders>
          </w:tcPr>
          <w:p w14:paraId="639FE0FB" w14:textId="77777777" w:rsidR="006448B5" w:rsidRPr="00321CBD" w:rsidRDefault="006448B5"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p w14:paraId="0786F79F" w14:textId="77777777" w:rsidR="006448B5" w:rsidRPr="00321CBD" w:rsidRDefault="006448B5" w:rsidP="006448B5">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w:t>
            </w:r>
            <w:r w:rsidRPr="00321CBD">
              <w:rPr>
                <w:rFonts w:ascii="Times New Roman" w:hAnsi="Times New Roman" w:cs="Times New Roman"/>
                <w:i/>
                <w:sz w:val="24"/>
                <w:szCs w:val="24"/>
                <w:lang w:val="lv-LV"/>
              </w:rPr>
              <w:t>p = 0,125</w:t>
            </w:r>
          </w:p>
        </w:tc>
      </w:tr>
    </w:tbl>
    <w:p w14:paraId="3892BD06" w14:textId="77777777" w:rsidR="008B0CE9" w:rsidRPr="00321CBD" w:rsidRDefault="008B0CE9" w:rsidP="00F07DD9">
      <w:pPr>
        <w:spacing w:line="360" w:lineRule="auto"/>
        <w:jc w:val="both"/>
        <w:rPr>
          <w:rFonts w:ascii="Times New Roman" w:hAnsi="Times New Roman" w:cs="Times New Roman"/>
          <w:sz w:val="24"/>
          <w:szCs w:val="24"/>
          <w:lang w:val="lv-LV"/>
        </w:rPr>
      </w:pPr>
    </w:p>
    <w:p w14:paraId="706A66EB" w14:textId="10578663" w:rsidR="006448B5" w:rsidRPr="00321CBD" w:rsidRDefault="006448B5"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Sieviet</w:t>
      </w:r>
      <w:r w:rsidR="00845FF1">
        <w:rPr>
          <w:rFonts w:ascii="Times New Roman" w:hAnsi="Times New Roman" w:cs="Times New Roman"/>
          <w:sz w:val="24"/>
          <w:szCs w:val="24"/>
          <w:lang w:val="lv-LV"/>
        </w:rPr>
        <w:t>es</w:t>
      </w:r>
      <w:r w:rsidRPr="00321CBD">
        <w:rPr>
          <w:rFonts w:ascii="Times New Roman" w:hAnsi="Times New Roman" w:cs="Times New Roman"/>
          <w:sz w:val="24"/>
          <w:szCs w:val="24"/>
          <w:lang w:val="lv-LV"/>
        </w:rPr>
        <w:t xml:space="preserve"> menopauz</w:t>
      </w:r>
      <w:r w:rsidR="00845FF1">
        <w:rPr>
          <w:rFonts w:ascii="Times New Roman" w:hAnsi="Times New Roman" w:cs="Times New Roman"/>
          <w:sz w:val="24"/>
          <w:szCs w:val="24"/>
          <w:lang w:val="lv-LV"/>
        </w:rPr>
        <w:t>es periodā</w:t>
      </w:r>
      <w:r w:rsidRPr="00321CBD">
        <w:rPr>
          <w:rFonts w:ascii="Times New Roman" w:hAnsi="Times New Roman" w:cs="Times New Roman"/>
          <w:sz w:val="24"/>
          <w:szCs w:val="24"/>
          <w:lang w:val="lv-LV"/>
        </w:rPr>
        <w:t xml:space="preserve"> visos 3 gadījumos, kur sūdzības nebija </w:t>
      </w:r>
      <w:r w:rsidR="00845FF1" w:rsidRPr="00321CBD">
        <w:rPr>
          <w:rFonts w:ascii="Times New Roman" w:hAnsi="Times New Roman" w:cs="Times New Roman"/>
          <w:sz w:val="24"/>
          <w:szCs w:val="24"/>
          <w:lang w:val="lv-LV"/>
        </w:rPr>
        <w:t>saistītas</w:t>
      </w:r>
      <w:r w:rsidRPr="00321CBD">
        <w:rPr>
          <w:rFonts w:ascii="Times New Roman" w:hAnsi="Times New Roman" w:cs="Times New Roman"/>
          <w:sz w:val="24"/>
          <w:szCs w:val="24"/>
          <w:lang w:val="lv-LV"/>
        </w:rPr>
        <w:t xml:space="preserve"> ar asiņošanu, atzīmēja sāpes vēdera lejas daļā. </w:t>
      </w:r>
    </w:p>
    <w:p w14:paraId="3CFB3A1C" w14:textId="08CB3C9D" w:rsidR="001D5E07" w:rsidRPr="00321CBD" w:rsidRDefault="001D5E07"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Netika arī atrasta saistība starp palielinātu svaru un polipa esamību. 63 sievietēm (47,7%), kam </w:t>
      </w:r>
      <w:r w:rsidR="006B7C07" w:rsidRPr="00321CBD">
        <w:rPr>
          <w:rFonts w:ascii="Times New Roman" w:hAnsi="Times New Roman" w:cs="Times New Roman"/>
          <w:sz w:val="24"/>
          <w:szCs w:val="24"/>
          <w:lang w:val="lv-LV"/>
        </w:rPr>
        <w:t>histoloģiski</w:t>
      </w:r>
      <w:r w:rsidRPr="00321CBD">
        <w:rPr>
          <w:rFonts w:ascii="Times New Roman" w:hAnsi="Times New Roman" w:cs="Times New Roman"/>
          <w:sz w:val="24"/>
          <w:szCs w:val="24"/>
          <w:lang w:val="lv-LV"/>
        </w:rPr>
        <w:t xml:space="preserve"> tika pierādīts polips bija normāls svars un 69 (52,3%) palielināts (</w:t>
      </w:r>
      <w:r w:rsidRPr="00321CBD">
        <w:rPr>
          <w:rFonts w:ascii="Times New Roman" w:hAnsi="Times New Roman" w:cs="Times New Roman"/>
          <w:i/>
          <w:sz w:val="24"/>
          <w:szCs w:val="24"/>
          <w:lang w:val="lv-LV"/>
        </w:rPr>
        <w:t>p = 0,880</w:t>
      </w:r>
      <w:r w:rsidRPr="00321CBD">
        <w:rPr>
          <w:rFonts w:ascii="Times New Roman" w:hAnsi="Times New Roman" w:cs="Times New Roman"/>
          <w:sz w:val="24"/>
          <w:szCs w:val="24"/>
          <w:lang w:val="lv-LV"/>
        </w:rPr>
        <w:t xml:space="preserve">). </w:t>
      </w:r>
    </w:p>
    <w:p w14:paraId="0CF11E04" w14:textId="77777777" w:rsidR="001D5E07" w:rsidRPr="00321CBD" w:rsidRDefault="00C54FD0" w:rsidP="00F07DD9">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Polipa diagnostika</w:t>
      </w:r>
    </w:p>
    <w:p w14:paraId="19192AC4" w14:textId="4A22489C" w:rsidR="004C18B3" w:rsidRPr="00321CBD" w:rsidRDefault="00C54FD0"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Balstoties </w:t>
      </w:r>
      <w:r w:rsidR="00845FF1">
        <w:rPr>
          <w:rFonts w:ascii="Times New Roman" w:hAnsi="Times New Roman" w:cs="Times New Roman"/>
          <w:sz w:val="24"/>
          <w:szCs w:val="24"/>
          <w:lang w:val="lv-LV"/>
        </w:rPr>
        <w:t xml:space="preserve">uz </w:t>
      </w:r>
      <w:r w:rsidRPr="00321CBD">
        <w:rPr>
          <w:rFonts w:ascii="Times New Roman" w:hAnsi="Times New Roman" w:cs="Times New Roman"/>
          <w:sz w:val="24"/>
          <w:szCs w:val="24"/>
          <w:lang w:val="lv-LV"/>
        </w:rPr>
        <w:t>pie</w:t>
      </w:r>
      <w:r w:rsidR="00845FF1">
        <w:rPr>
          <w:rFonts w:ascii="Times New Roman" w:hAnsi="Times New Roman" w:cs="Times New Roman"/>
          <w:sz w:val="24"/>
          <w:szCs w:val="24"/>
          <w:lang w:val="lv-LV"/>
        </w:rPr>
        <w:t>e</w:t>
      </w:r>
      <w:r w:rsidRPr="00321CBD">
        <w:rPr>
          <w:rFonts w:ascii="Times New Roman" w:hAnsi="Times New Roman" w:cs="Times New Roman"/>
          <w:sz w:val="24"/>
          <w:szCs w:val="24"/>
          <w:lang w:val="lv-LV"/>
        </w:rPr>
        <w:t>jamiem</w:t>
      </w:r>
      <w:r w:rsidR="00845FF1">
        <w:rPr>
          <w:rFonts w:ascii="Times New Roman" w:hAnsi="Times New Roman" w:cs="Times New Roman"/>
          <w:sz w:val="24"/>
          <w:szCs w:val="24"/>
          <w:lang w:val="lv-LV"/>
        </w:rPr>
        <w:t xml:space="preserve"> </w:t>
      </w:r>
      <w:r w:rsidR="00845FF1" w:rsidRPr="00321CBD">
        <w:rPr>
          <w:rFonts w:ascii="Times New Roman" w:hAnsi="Times New Roman" w:cs="Times New Roman"/>
          <w:sz w:val="24"/>
          <w:szCs w:val="24"/>
          <w:lang w:val="lv-LV"/>
        </w:rPr>
        <w:t xml:space="preserve">datiem </w:t>
      </w:r>
      <w:r w:rsidRPr="00321CBD">
        <w:rPr>
          <w:rFonts w:ascii="Times New Roman" w:hAnsi="Times New Roman" w:cs="Times New Roman"/>
          <w:sz w:val="24"/>
          <w:szCs w:val="24"/>
          <w:lang w:val="lv-LV"/>
        </w:rPr>
        <w:t xml:space="preserve">no vēsturēm tika </w:t>
      </w:r>
      <w:r w:rsidR="00BF72C8">
        <w:rPr>
          <w:rFonts w:ascii="Times New Roman" w:hAnsi="Times New Roman" w:cs="Times New Roman"/>
          <w:sz w:val="24"/>
          <w:szCs w:val="24"/>
          <w:lang w:val="lv-LV"/>
        </w:rPr>
        <w:t>izvērtēta</w:t>
      </w:r>
      <w:r w:rsidR="00785DF8">
        <w:rPr>
          <w:rFonts w:ascii="Times New Roman" w:hAnsi="Times New Roman" w:cs="Times New Roman"/>
          <w:sz w:val="24"/>
          <w:szCs w:val="24"/>
          <w:lang w:val="lv-LV"/>
        </w:rPr>
        <w:t xml:space="preserve"> diagnostiska vērtība</w:t>
      </w:r>
      <w:r w:rsidRPr="00BF72C8">
        <w:rPr>
          <w:rFonts w:ascii="Times New Roman" w:hAnsi="Times New Roman" w:cs="Times New Roman"/>
          <w:sz w:val="24"/>
          <w:szCs w:val="24"/>
          <w:lang w:val="lv-LV"/>
        </w:rPr>
        <w:t xml:space="preserve"> ultrasonogrāfijas metodei un histerorezektoskopijai.</w:t>
      </w:r>
      <w:r w:rsidRPr="00321CBD">
        <w:rPr>
          <w:rFonts w:ascii="Times New Roman" w:hAnsi="Times New Roman" w:cs="Times New Roman"/>
          <w:sz w:val="24"/>
          <w:szCs w:val="24"/>
          <w:lang w:val="lv-LV"/>
        </w:rPr>
        <w:t xml:space="preserve"> Tika </w:t>
      </w:r>
      <w:r w:rsidR="00E43C8D" w:rsidRPr="00321CBD">
        <w:rPr>
          <w:rFonts w:ascii="Times New Roman" w:hAnsi="Times New Roman" w:cs="Times New Roman"/>
          <w:sz w:val="24"/>
          <w:szCs w:val="24"/>
          <w:lang w:val="lv-LV"/>
        </w:rPr>
        <w:t>izrēķināt</w:t>
      </w:r>
      <w:r w:rsidR="00E43C8D">
        <w:rPr>
          <w:rFonts w:ascii="Times New Roman" w:hAnsi="Times New Roman" w:cs="Times New Roman"/>
          <w:sz w:val="24"/>
          <w:szCs w:val="24"/>
          <w:lang w:val="lv-LV"/>
        </w:rPr>
        <w:t xml:space="preserve">a </w:t>
      </w:r>
      <w:r w:rsidRPr="00321CBD">
        <w:rPr>
          <w:rFonts w:ascii="Times New Roman" w:hAnsi="Times New Roman" w:cs="Times New Roman"/>
          <w:sz w:val="24"/>
          <w:szCs w:val="24"/>
          <w:lang w:val="lv-LV"/>
        </w:rPr>
        <w:t>metodes sensitivitāte,</w:t>
      </w:r>
      <w:r w:rsidR="00E43C8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specifitāte, pozitīva un negatīva paredzamā vērtība. </w:t>
      </w:r>
      <w:r w:rsidR="00E43C8D">
        <w:rPr>
          <w:rFonts w:ascii="Times New Roman" w:hAnsi="Times New Roman" w:cs="Times New Roman"/>
          <w:sz w:val="24"/>
          <w:szCs w:val="24"/>
          <w:lang w:val="lv-LV"/>
        </w:rPr>
        <w:t>N</w:t>
      </w:r>
      <w:r w:rsidRPr="00321CBD">
        <w:rPr>
          <w:rFonts w:ascii="Times New Roman" w:hAnsi="Times New Roman" w:cs="Times New Roman"/>
          <w:sz w:val="24"/>
          <w:szCs w:val="24"/>
          <w:lang w:val="lv-LV"/>
        </w:rPr>
        <w:t>o 172 gadījumiem</w:t>
      </w:r>
      <w:r w:rsidR="00E43C8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144 bija saistītas ar polipu. Pārējos 28 </w:t>
      </w:r>
      <w:r w:rsidRPr="00321CBD">
        <w:rPr>
          <w:rFonts w:ascii="Times New Roman" w:hAnsi="Times New Roman" w:cs="Times New Roman"/>
          <w:sz w:val="24"/>
          <w:szCs w:val="24"/>
          <w:lang w:val="lv-LV"/>
        </w:rPr>
        <w:lastRenderedPageBreak/>
        <w:t>gadījumos tika konstatēta cita patoloģija un tie bija ieskaitīti kā pa</w:t>
      </w:r>
      <w:r w:rsidR="00E43C8D">
        <w:rPr>
          <w:rFonts w:ascii="Times New Roman" w:hAnsi="Times New Roman" w:cs="Times New Roman"/>
          <w:sz w:val="24"/>
          <w:szCs w:val="24"/>
          <w:lang w:val="lv-LV"/>
        </w:rPr>
        <w:t>tiesi</w:t>
      </w:r>
      <w:r w:rsidRPr="00321CBD">
        <w:rPr>
          <w:rFonts w:ascii="Times New Roman" w:hAnsi="Times New Roman" w:cs="Times New Roman"/>
          <w:sz w:val="24"/>
          <w:szCs w:val="24"/>
          <w:lang w:val="lv-LV"/>
        </w:rPr>
        <w:t xml:space="preserve"> </w:t>
      </w:r>
      <w:r w:rsidR="007D0AE1" w:rsidRPr="00321CBD">
        <w:rPr>
          <w:rFonts w:ascii="Times New Roman" w:hAnsi="Times New Roman" w:cs="Times New Roman"/>
          <w:sz w:val="24"/>
          <w:szCs w:val="24"/>
          <w:lang w:val="lv-LV"/>
        </w:rPr>
        <w:t xml:space="preserve">negatīvi attiecībā uz polipu. </w:t>
      </w:r>
    </w:p>
    <w:p w14:paraId="758A543A" w14:textId="2F2E2C6D" w:rsidR="00C54FD0" w:rsidRPr="00321CBD" w:rsidRDefault="007D0AE1"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Ar ultrasonogrāfijas metodi no 132 histoloģ</w:t>
      </w:r>
      <w:r w:rsidR="00E43C8D">
        <w:rPr>
          <w:rFonts w:ascii="Times New Roman" w:hAnsi="Times New Roman" w:cs="Times New Roman"/>
          <w:sz w:val="24"/>
          <w:szCs w:val="24"/>
          <w:lang w:val="lv-LV"/>
        </w:rPr>
        <w:t>i</w:t>
      </w:r>
      <w:r w:rsidRPr="00321CBD">
        <w:rPr>
          <w:rFonts w:ascii="Times New Roman" w:hAnsi="Times New Roman" w:cs="Times New Roman"/>
          <w:sz w:val="24"/>
          <w:szCs w:val="24"/>
          <w:lang w:val="lv-LV"/>
        </w:rPr>
        <w:t xml:space="preserve">ski </w:t>
      </w:r>
      <w:r w:rsidR="00E43C8D">
        <w:rPr>
          <w:rFonts w:ascii="Times New Roman" w:hAnsi="Times New Roman" w:cs="Times New Roman"/>
          <w:sz w:val="24"/>
          <w:szCs w:val="24"/>
          <w:lang w:val="lv-LV"/>
        </w:rPr>
        <w:t>p</w:t>
      </w:r>
      <w:r w:rsidR="00BF72C8">
        <w:rPr>
          <w:rFonts w:ascii="Times New Roman" w:hAnsi="Times New Roman" w:cs="Times New Roman"/>
          <w:sz w:val="24"/>
          <w:szCs w:val="24"/>
          <w:lang w:val="lv-LV"/>
        </w:rPr>
        <w:t>ierādītiem</w:t>
      </w:r>
      <w:r w:rsidR="00E43C8D"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polipa gadījumiem, tika konstatēti 120</w:t>
      </w:r>
      <w:r w:rsidRPr="00BF72C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12 gadījumi bija viltus negatīvi un vēl 12</w:t>
      </w:r>
      <w:r w:rsidR="00E43C8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gadīj</w:t>
      </w:r>
      <w:r w:rsidR="00785DF8">
        <w:rPr>
          <w:rFonts w:ascii="Times New Roman" w:hAnsi="Times New Roman" w:cs="Times New Roman"/>
          <w:sz w:val="24"/>
          <w:szCs w:val="24"/>
          <w:lang w:val="lv-LV"/>
        </w:rPr>
        <w:t>umi bija viltus pozitīvi. Ultrasonogrāfijas metodes</w:t>
      </w:r>
      <w:r w:rsidRPr="00321CBD">
        <w:rPr>
          <w:rFonts w:ascii="Times New Roman" w:hAnsi="Times New Roman" w:cs="Times New Roman"/>
          <w:sz w:val="24"/>
          <w:szCs w:val="24"/>
          <w:lang w:val="lv-LV"/>
        </w:rPr>
        <w:t xml:space="preserve"> </w:t>
      </w:r>
      <w:r w:rsidR="00E43C8D">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ensitivitāte  un </w:t>
      </w:r>
      <w:r w:rsidR="00E43C8D">
        <w:rPr>
          <w:rFonts w:ascii="Times New Roman" w:hAnsi="Times New Roman" w:cs="Times New Roman"/>
          <w:sz w:val="24"/>
          <w:szCs w:val="24"/>
          <w:lang w:val="lv-LV"/>
        </w:rPr>
        <w:t>p</w:t>
      </w:r>
      <w:r w:rsidRPr="00321CBD">
        <w:rPr>
          <w:rFonts w:ascii="Times New Roman" w:hAnsi="Times New Roman" w:cs="Times New Roman"/>
          <w:sz w:val="24"/>
          <w:szCs w:val="24"/>
          <w:lang w:val="lv-LV"/>
        </w:rPr>
        <w:t xml:space="preserve">ozitīva </w:t>
      </w:r>
      <w:r w:rsidR="00E43C8D">
        <w:rPr>
          <w:rFonts w:ascii="Times New Roman" w:hAnsi="Times New Roman" w:cs="Times New Roman"/>
          <w:sz w:val="24"/>
          <w:szCs w:val="24"/>
          <w:lang w:val="lv-LV"/>
        </w:rPr>
        <w:t>p</w:t>
      </w:r>
      <w:r w:rsidRPr="00321CBD">
        <w:rPr>
          <w:rFonts w:ascii="Times New Roman" w:hAnsi="Times New Roman" w:cs="Times New Roman"/>
          <w:sz w:val="24"/>
          <w:szCs w:val="24"/>
          <w:lang w:val="lv-LV"/>
        </w:rPr>
        <w:t xml:space="preserve">aredzama </w:t>
      </w:r>
      <w:r w:rsidR="00E43C8D">
        <w:rPr>
          <w:rFonts w:ascii="Times New Roman" w:hAnsi="Times New Roman" w:cs="Times New Roman"/>
          <w:sz w:val="24"/>
          <w:szCs w:val="24"/>
          <w:lang w:val="lv-LV"/>
        </w:rPr>
        <w:t>v</w:t>
      </w:r>
      <w:r w:rsidRPr="00321CBD">
        <w:rPr>
          <w:rFonts w:ascii="Times New Roman" w:hAnsi="Times New Roman" w:cs="Times New Roman"/>
          <w:sz w:val="24"/>
          <w:szCs w:val="24"/>
          <w:lang w:val="lv-LV"/>
        </w:rPr>
        <w:t xml:space="preserve">ērtība bija 90,91% , bet </w:t>
      </w:r>
      <w:r w:rsidR="00E43C8D">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pecifitāte un </w:t>
      </w:r>
      <w:r w:rsidR="00E43C8D">
        <w:rPr>
          <w:rFonts w:ascii="Times New Roman" w:hAnsi="Times New Roman" w:cs="Times New Roman"/>
          <w:sz w:val="24"/>
          <w:szCs w:val="24"/>
          <w:lang w:val="lv-LV"/>
        </w:rPr>
        <w:t>n</w:t>
      </w:r>
      <w:r w:rsidRPr="00321CBD">
        <w:rPr>
          <w:rFonts w:ascii="Times New Roman" w:hAnsi="Times New Roman" w:cs="Times New Roman"/>
          <w:sz w:val="24"/>
          <w:szCs w:val="24"/>
          <w:lang w:val="lv-LV"/>
        </w:rPr>
        <w:t xml:space="preserve">egatīva </w:t>
      </w:r>
      <w:r w:rsidR="00E43C8D">
        <w:rPr>
          <w:rFonts w:ascii="Times New Roman" w:hAnsi="Times New Roman" w:cs="Times New Roman"/>
          <w:sz w:val="24"/>
          <w:szCs w:val="24"/>
          <w:lang w:val="lv-LV"/>
        </w:rPr>
        <w:t>p</w:t>
      </w:r>
      <w:r w:rsidRPr="00321CBD">
        <w:rPr>
          <w:rFonts w:ascii="Times New Roman" w:hAnsi="Times New Roman" w:cs="Times New Roman"/>
          <w:sz w:val="24"/>
          <w:szCs w:val="24"/>
          <w:lang w:val="lv-LV"/>
        </w:rPr>
        <w:t xml:space="preserve">aredzamā </w:t>
      </w:r>
      <w:r w:rsidR="00E43C8D">
        <w:rPr>
          <w:rFonts w:ascii="Times New Roman" w:hAnsi="Times New Roman" w:cs="Times New Roman"/>
          <w:sz w:val="24"/>
          <w:szCs w:val="24"/>
          <w:lang w:val="lv-LV"/>
        </w:rPr>
        <w:t>v</w:t>
      </w:r>
      <w:r w:rsidRPr="00321CBD">
        <w:rPr>
          <w:rFonts w:ascii="Times New Roman" w:hAnsi="Times New Roman" w:cs="Times New Roman"/>
          <w:sz w:val="24"/>
          <w:szCs w:val="24"/>
          <w:lang w:val="lv-LV"/>
        </w:rPr>
        <w:t>ērtība sastād</w:t>
      </w:r>
      <w:r w:rsidR="00E43C8D">
        <w:rPr>
          <w:rFonts w:ascii="Times New Roman" w:hAnsi="Times New Roman" w:cs="Times New Roman"/>
          <w:sz w:val="24"/>
          <w:szCs w:val="24"/>
          <w:lang w:val="lv-LV"/>
        </w:rPr>
        <w:t>īj</w:t>
      </w:r>
      <w:r w:rsidRPr="00321CBD">
        <w:rPr>
          <w:rFonts w:ascii="Times New Roman" w:hAnsi="Times New Roman" w:cs="Times New Roman"/>
          <w:sz w:val="24"/>
          <w:szCs w:val="24"/>
          <w:lang w:val="lv-LV"/>
        </w:rPr>
        <w:t>a</w:t>
      </w:r>
      <w:r w:rsidR="004C18B3" w:rsidRPr="00321CBD">
        <w:rPr>
          <w:rFonts w:ascii="Times New Roman" w:hAnsi="Times New Roman" w:cs="Times New Roman"/>
          <w:sz w:val="24"/>
          <w:szCs w:val="24"/>
          <w:lang w:val="lv-LV"/>
        </w:rPr>
        <w:t xml:space="preserve"> tikai 70% abos gadījumos. Jāpiebilst, ka nevienā gadījumā pacientei netika veikta </w:t>
      </w:r>
      <w:r w:rsidR="00785DF8" w:rsidRPr="00321CBD">
        <w:rPr>
          <w:rFonts w:ascii="Times New Roman" w:hAnsi="Times New Roman" w:cs="Times New Roman"/>
          <w:sz w:val="24"/>
          <w:szCs w:val="24"/>
          <w:lang w:val="lv-LV"/>
        </w:rPr>
        <w:t>šķidruma</w:t>
      </w:r>
      <w:r w:rsidR="00785DF8">
        <w:rPr>
          <w:rFonts w:ascii="Times New Roman" w:hAnsi="Times New Roman" w:cs="Times New Roman"/>
          <w:sz w:val="24"/>
          <w:szCs w:val="24"/>
          <w:lang w:val="lv-LV"/>
        </w:rPr>
        <w:t xml:space="preserve"> sonohisterogrāfija</w:t>
      </w:r>
      <w:r w:rsidR="004C18B3" w:rsidRPr="00321CBD">
        <w:rPr>
          <w:rFonts w:ascii="Times New Roman" w:hAnsi="Times New Roman" w:cs="Times New Roman"/>
          <w:sz w:val="24"/>
          <w:szCs w:val="24"/>
          <w:lang w:val="lv-LV"/>
        </w:rPr>
        <w:t xml:space="preserve">(Saline Infusion Sonography). </w:t>
      </w:r>
    </w:p>
    <w:p w14:paraId="56CE29A8" w14:textId="48EBF2D7" w:rsidR="007C4A60" w:rsidRPr="00321CBD" w:rsidRDefault="004C18B3" w:rsidP="007C4A6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Ar histerorezektoskopijas metodi pareizi tika diagnosticēti 127 gadījumi no 132. 5 gadījumos bija viltus negatīvs rezultāts</w:t>
      </w:r>
      <w:r w:rsidR="00E43C8D">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2 gadījumos rezultāts bija viltus pozitīvs un 38 gadījumos patiesi negatīvs. Sensitivitāte histerorezektoskopijai sastādīja 96,21%, </w:t>
      </w:r>
      <w:r w:rsidR="00E43C8D">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pecifitāte 95%, </w:t>
      </w:r>
      <w:r w:rsidR="00E43C8D">
        <w:rPr>
          <w:rFonts w:ascii="Times New Roman" w:hAnsi="Times New Roman" w:cs="Times New Roman"/>
          <w:sz w:val="24"/>
          <w:szCs w:val="24"/>
          <w:lang w:val="lv-LV"/>
        </w:rPr>
        <w:t>p</w:t>
      </w:r>
      <w:r w:rsidRPr="00321CBD">
        <w:rPr>
          <w:rFonts w:ascii="Times New Roman" w:hAnsi="Times New Roman" w:cs="Times New Roman"/>
          <w:sz w:val="24"/>
          <w:szCs w:val="24"/>
          <w:lang w:val="lv-LV"/>
        </w:rPr>
        <w:t xml:space="preserve">ozitīva paredzamā vērtība 98,45% un </w:t>
      </w:r>
      <w:r w:rsidR="00E43C8D">
        <w:rPr>
          <w:rFonts w:ascii="Times New Roman" w:hAnsi="Times New Roman" w:cs="Times New Roman"/>
          <w:sz w:val="24"/>
          <w:szCs w:val="24"/>
          <w:lang w:val="lv-LV"/>
        </w:rPr>
        <w:t>n</w:t>
      </w:r>
      <w:r w:rsidRPr="00321CBD">
        <w:rPr>
          <w:rFonts w:ascii="Times New Roman" w:hAnsi="Times New Roman" w:cs="Times New Roman"/>
          <w:sz w:val="24"/>
          <w:szCs w:val="24"/>
          <w:lang w:val="lv-LV"/>
        </w:rPr>
        <w:t>egatīva paredzama vērtība 88,37%</w:t>
      </w:r>
      <w:r w:rsidR="007C4A60" w:rsidRPr="00321CBD">
        <w:rPr>
          <w:rFonts w:ascii="Times New Roman" w:hAnsi="Times New Roman" w:cs="Times New Roman"/>
          <w:sz w:val="24"/>
          <w:szCs w:val="24"/>
          <w:lang w:val="lv-LV"/>
        </w:rPr>
        <w:t>. Tabulā 6. ir parādīts metožu salīdzinājums.</w:t>
      </w:r>
    </w:p>
    <w:tbl>
      <w:tblPr>
        <w:tblStyle w:val="TableGrid"/>
        <w:tblW w:w="0" w:type="auto"/>
        <w:tblLayout w:type="fixed"/>
        <w:tblLook w:val="04A0" w:firstRow="1" w:lastRow="0" w:firstColumn="1" w:lastColumn="0" w:noHBand="0" w:noVBand="1"/>
      </w:tblPr>
      <w:tblGrid>
        <w:gridCol w:w="3227"/>
        <w:gridCol w:w="2835"/>
        <w:gridCol w:w="2551"/>
        <w:gridCol w:w="1007"/>
      </w:tblGrid>
      <w:tr w:rsidR="007C4A60" w:rsidRPr="00090782" w14:paraId="13A8F1C9" w14:textId="77777777" w:rsidTr="007C4A60">
        <w:tc>
          <w:tcPr>
            <w:tcW w:w="9620" w:type="dxa"/>
            <w:gridSpan w:val="4"/>
            <w:tcBorders>
              <w:top w:val="single" w:sz="24" w:space="0" w:color="009900"/>
              <w:left w:val="nil"/>
              <w:bottom w:val="single" w:sz="24" w:space="0" w:color="009900"/>
              <w:right w:val="nil"/>
            </w:tcBorders>
          </w:tcPr>
          <w:p w14:paraId="3E210426" w14:textId="77777777" w:rsidR="007C4A60" w:rsidRPr="00321CBD" w:rsidRDefault="007C4A60" w:rsidP="007C4A6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Tabula 6. Ultrasonogrāfijas un histerorezektoskopijas metožu diagn</w:t>
            </w:r>
            <w:r w:rsidR="00210A05" w:rsidRPr="00321CBD">
              <w:rPr>
                <w:rFonts w:ascii="Times New Roman" w:hAnsi="Times New Roman" w:cs="Times New Roman"/>
                <w:b/>
                <w:sz w:val="24"/>
                <w:szCs w:val="24"/>
                <w:lang w:val="lv-LV"/>
              </w:rPr>
              <w:t>ostiskās vērtības salīdzinājums attiecībā uz endometrija polipu</w:t>
            </w:r>
          </w:p>
        </w:tc>
      </w:tr>
      <w:tr w:rsidR="007C4A60" w:rsidRPr="00321CBD" w14:paraId="210CC425" w14:textId="77777777" w:rsidTr="007C4A60">
        <w:trPr>
          <w:gridAfter w:val="1"/>
          <w:wAfter w:w="1007" w:type="dxa"/>
        </w:trPr>
        <w:tc>
          <w:tcPr>
            <w:tcW w:w="3227" w:type="dxa"/>
            <w:tcBorders>
              <w:top w:val="single" w:sz="24" w:space="0" w:color="009900"/>
              <w:left w:val="nil"/>
              <w:bottom w:val="nil"/>
              <w:right w:val="nil"/>
            </w:tcBorders>
          </w:tcPr>
          <w:p w14:paraId="5350668A" w14:textId="77777777" w:rsidR="007C4A60" w:rsidRPr="00321CBD" w:rsidRDefault="007C4A60" w:rsidP="0088363B">
            <w:pPr>
              <w:spacing w:line="360" w:lineRule="auto"/>
              <w:jc w:val="both"/>
              <w:rPr>
                <w:rFonts w:ascii="Times New Roman" w:hAnsi="Times New Roman" w:cs="Times New Roman"/>
                <w:sz w:val="24"/>
                <w:szCs w:val="24"/>
                <w:lang w:val="lv-LV"/>
              </w:rPr>
            </w:pPr>
          </w:p>
        </w:tc>
        <w:tc>
          <w:tcPr>
            <w:tcW w:w="2835" w:type="dxa"/>
            <w:tcBorders>
              <w:top w:val="single" w:sz="18" w:space="0" w:color="009900"/>
              <w:left w:val="nil"/>
              <w:bottom w:val="nil"/>
              <w:right w:val="nil"/>
            </w:tcBorders>
          </w:tcPr>
          <w:p w14:paraId="4E7A90A7" w14:textId="77777777" w:rsidR="007C4A60" w:rsidRPr="00321CBD" w:rsidRDefault="007C4A60"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Ultrasonogrāfija</w:t>
            </w:r>
          </w:p>
        </w:tc>
        <w:tc>
          <w:tcPr>
            <w:tcW w:w="2551" w:type="dxa"/>
            <w:tcBorders>
              <w:top w:val="single" w:sz="18" w:space="0" w:color="009900"/>
              <w:left w:val="nil"/>
              <w:bottom w:val="nil"/>
              <w:right w:val="nil"/>
            </w:tcBorders>
          </w:tcPr>
          <w:p w14:paraId="4F0C2C4F" w14:textId="5D5FC11F" w:rsidR="007C4A60" w:rsidRPr="00321CBD" w:rsidRDefault="007C4A60"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Histerorezektosko</w:t>
            </w:r>
            <w:r w:rsidR="00E43C8D">
              <w:rPr>
                <w:rFonts w:ascii="Times New Roman" w:hAnsi="Times New Roman" w:cs="Times New Roman"/>
                <w:b/>
                <w:sz w:val="24"/>
                <w:szCs w:val="24"/>
                <w:lang w:val="lv-LV"/>
              </w:rPr>
              <w:t>p</w:t>
            </w:r>
            <w:r w:rsidRPr="00321CBD">
              <w:rPr>
                <w:rFonts w:ascii="Times New Roman" w:hAnsi="Times New Roman" w:cs="Times New Roman"/>
                <w:b/>
                <w:sz w:val="24"/>
                <w:szCs w:val="24"/>
                <w:lang w:val="lv-LV"/>
              </w:rPr>
              <w:t>ija</w:t>
            </w:r>
          </w:p>
        </w:tc>
      </w:tr>
      <w:tr w:rsidR="007C4A60" w:rsidRPr="00321CBD" w14:paraId="2341C99A" w14:textId="77777777" w:rsidTr="007C4A60">
        <w:trPr>
          <w:gridAfter w:val="1"/>
          <w:wAfter w:w="1007" w:type="dxa"/>
        </w:trPr>
        <w:tc>
          <w:tcPr>
            <w:tcW w:w="3227" w:type="dxa"/>
            <w:tcBorders>
              <w:top w:val="nil"/>
              <w:left w:val="nil"/>
              <w:bottom w:val="nil"/>
              <w:right w:val="nil"/>
            </w:tcBorders>
          </w:tcPr>
          <w:p w14:paraId="01CD7312" w14:textId="77777777" w:rsidR="007C4A60" w:rsidRPr="00321CBD" w:rsidRDefault="007C4A60" w:rsidP="007C4A60">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Sensitivitāte</w:t>
            </w:r>
          </w:p>
        </w:tc>
        <w:tc>
          <w:tcPr>
            <w:tcW w:w="2835" w:type="dxa"/>
            <w:tcBorders>
              <w:top w:val="nil"/>
              <w:left w:val="nil"/>
              <w:bottom w:val="nil"/>
              <w:right w:val="nil"/>
            </w:tcBorders>
          </w:tcPr>
          <w:p w14:paraId="41C432C9"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90,91%</w:t>
            </w:r>
          </w:p>
        </w:tc>
        <w:tc>
          <w:tcPr>
            <w:tcW w:w="2551" w:type="dxa"/>
            <w:tcBorders>
              <w:top w:val="nil"/>
              <w:left w:val="nil"/>
              <w:bottom w:val="nil"/>
              <w:right w:val="nil"/>
            </w:tcBorders>
          </w:tcPr>
          <w:p w14:paraId="1EDD1A2C"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96,21%</w:t>
            </w:r>
          </w:p>
        </w:tc>
      </w:tr>
      <w:tr w:rsidR="007C4A60" w:rsidRPr="00321CBD" w14:paraId="07C2BFF7" w14:textId="77777777" w:rsidTr="007C4A60">
        <w:trPr>
          <w:gridAfter w:val="1"/>
          <w:wAfter w:w="1007" w:type="dxa"/>
        </w:trPr>
        <w:tc>
          <w:tcPr>
            <w:tcW w:w="3227" w:type="dxa"/>
            <w:tcBorders>
              <w:top w:val="nil"/>
              <w:left w:val="nil"/>
              <w:bottom w:val="nil"/>
              <w:right w:val="nil"/>
            </w:tcBorders>
          </w:tcPr>
          <w:p w14:paraId="2DDFD497" w14:textId="77777777" w:rsidR="007C4A60" w:rsidRPr="00321CBD" w:rsidRDefault="007C4A60" w:rsidP="007C4A60">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Specifitāte</w:t>
            </w:r>
          </w:p>
        </w:tc>
        <w:tc>
          <w:tcPr>
            <w:tcW w:w="2835" w:type="dxa"/>
            <w:tcBorders>
              <w:top w:val="nil"/>
              <w:left w:val="nil"/>
              <w:bottom w:val="nil"/>
              <w:right w:val="nil"/>
            </w:tcBorders>
          </w:tcPr>
          <w:p w14:paraId="7EEB6ECE"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70%</w:t>
            </w:r>
          </w:p>
        </w:tc>
        <w:tc>
          <w:tcPr>
            <w:tcW w:w="2551" w:type="dxa"/>
            <w:tcBorders>
              <w:top w:val="nil"/>
              <w:left w:val="nil"/>
              <w:bottom w:val="nil"/>
              <w:right w:val="nil"/>
            </w:tcBorders>
          </w:tcPr>
          <w:p w14:paraId="2906DFC1"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95%</w:t>
            </w:r>
          </w:p>
        </w:tc>
      </w:tr>
      <w:tr w:rsidR="007C4A60" w:rsidRPr="00321CBD" w14:paraId="324F959F" w14:textId="77777777" w:rsidTr="007C4A60">
        <w:trPr>
          <w:gridAfter w:val="1"/>
          <w:wAfter w:w="1007" w:type="dxa"/>
        </w:trPr>
        <w:tc>
          <w:tcPr>
            <w:tcW w:w="3227" w:type="dxa"/>
            <w:tcBorders>
              <w:top w:val="nil"/>
              <w:left w:val="nil"/>
              <w:bottom w:val="nil"/>
              <w:right w:val="nil"/>
            </w:tcBorders>
          </w:tcPr>
          <w:p w14:paraId="554B19D5" w14:textId="77777777" w:rsidR="007C4A60" w:rsidRPr="00321CBD" w:rsidRDefault="007C4A60" w:rsidP="007C4A60">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Pozitīva paredzama vērtība</w:t>
            </w:r>
          </w:p>
        </w:tc>
        <w:tc>
          <w:tcPr>
            <w:tcW w:w="2835" w:type="dxa"/>
            <w:tcBorders>
              <w:top w:val="nil"/>
              <w:left w:val="nil"/>
              <w:bottom w:val="nil"/>
              <w:right w:val="nil"/>
            </w:tcBorders>
          </w:tcPr>
          <w:p w14:paraId="3D2AD593"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90,91%</w:t>
            </w:r>
          </w:p>
        </w:tc>
        <w:tc>
          <w:tcPr>
            <w:tcW w:w="2551" w:type="dxa"/>
            <w:tcBorders>
              <w:top w:val="nil"/>
              <w:left w:val="nil"/>
              <w:bottom w:val="nil"/>
              <w:right w:val="nil"/>
            </w:tcBorders>
          </w:tcPr>
          <w:p w14:paraId="2F503009"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98,45%</w:t>
            </w:r>
          </w:p>
        </w:tc>
      </w:tr>
      <w:tr w:rsidR="007C4A60" w:rsidRPr="00321CBD" w14:paraId="26614E24" w14:textId="77777777" w:rsidTr="007C4A60">
        <w:trPr>
          <w:gridAfter w:val="1"/>
          <w:wAfter w:w="1007" w:type="dxa"/>
        </w:trPr>
        <w:tc>
          <w:tcPr>
            <w:tcW w:w="3227" w:type="dxa"/>
            <w:tcBorders>
              <w:top w:val="nil"/>
              <w:left w:val="nil"/>
              <w:bottom w:val="nil"/>
              <w:right w:val="nil"/>
            </w:tcBorders>
          </w:tcPr>
          <w:p w14:paraId="322BD220" w14:textId="77777777" w:rsidR="007C4A60" w:rsidRPr="00321CBD" w:rsidRDefault="007C4A60" w:rsidP="007C4A60">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Negatīva paredzama vērtība</w:t>
            </w:r>
          </w:p>
        </w:tc>
        <w:tc>
          <w:tcPr>
            <w:tcW w:w="2835" w:type="dxa"/>
            <w:tcBorders>
              <w:top w:val="nil"/>
              <w:left w:val="nil"/>
              <w:bottom w:val="nil"/>
              <w:right w:val="nil"/>
            </w:tcBorders>
          </w:tcPr>
          <w:p w14:paraId="5628D58A"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70%</w:t>
            </w:r>
          </w:p>
        </w:tc>
        <w:tc>
          <w:tcPr>
            <w:tcW w:w="2551" w:type="dxa"/>
            <w:tcBorders>
              <w:top w:val="nil"/>
              <w:left w:val="nil"/>
              <w:bottom w:val="nil"/>
              <w:right w:val="nil"/>
            </w:tcBorders>
          </w:tcPr>
          <w:p w14:paraId="7794E6A5" w14:textId="77777777" w:rsidR="007C4A60" w:rsidRPr="00321CBD" w:rsidRDefault="007C4A6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88,37%</w:t>
            </w:r>
          </w:p>
        </w:tc>
      </w:tr>
      <w:tr w:rsidR="007C4A60" w:rsidRPr="00321CBD" w14:paraId="3E7C755E" w14:textId="77777777" w:rsidTr="007C4A60">
        <w:tc>
          <w:tcPr>
            <w:tcW w:w="9620" w:type="dxa"/>
            <w:gridSpan w:val="4"/>
            <w:tcBorders>
              <w:top w:val="single" w:sz="18" w:space="0" w:color="009900"/>
              <w:left w:val="nil"/>
              <w:bottom w:val="nil"/>
              <w:right w:val="nil"/>
            </w:tcBorders>
          </w:tcPr>
          <w:p w14:paraId="7DFF7AD7" w14:textId="3119E694" w:rsidR="007C4A60" w:rsidRPr="00321CBD" w:rsidRDefault="00785DF8" w:rsidP="0088363B">
            <w:p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w:t>
            </w:r>
            <w:r w:rsidR="007C4A60" w:rsidRPr="00321CBD">
              <w:rPr>
                <w:rFonts w:ascii="Times New Roman" w:hAnsi="Times New Roman" w:cs="Times New Roman"/>
                <w:sz w:val="24"/>
                <w:szCs w:val="24"/>
                <w:lang w:val="lv-LV"/>
              </w:rPr>
              <w:t xml:space="preserve">vienai pacientei netika veikta </w:t>
            </w:r>
            <w:r w:rsidRPr="00321CBD">
              <w:rPr>
                <w:rFonts w:ascii="Times New Roman" w:hAnsi="Times New Roman" w:cs="Times New Roman"/>
                <w:sz w:val="24"/>
                <w:szCs w:val="24"/>
                <w:lang w:val="lv-LV"/>
              </w:rPr>
              <w:t xml:space="preserve">šķidruma sonohisterogrāfija </w:t>
            </w:r>
            <w:r w:rsidR="007C4A60" w:rsidRPr="00321CBD">
              <w:rPr>
                <w:rFonts w:ascii="Times New Roman" w:hAnsi="Times New Roman" w:cs="Times New Roman"/>
                <w:sz w:val="24"/>
                <w:szCs w:val="24"/>
                <w:lang w:val="lv-LV"/>
              </w:rPr>
              <w:t>vai arī nav datu par to.</w:t>
            </w:r>
          </w:p>
          <w:p w14:paraId="4D187A0C" w14:textId="77777777" w:rsidR="007C4A60" w:rsidRPr="00321CBD" w:rsidRDefault="007C4A60" w:rsidP="0088363B">
            <w:pPr>
              <w:spacing w:line="360" w:lineRule="auto"/>
              <w:jc w:val="both"/>
              <w:rPr>
                <w:rFonts w:ascii="Times New Roman" w:hAnsi="Times New Roman" w:cs="Times New Roman"/>
                <w:sz w:val="24"/>
                <w:szCs w:val="24"/>
                <w:lang w:val="lv-LV"/>
              </w:rPr>
            </w:pPr>
          </w:p>
          <w:p w14:paraId="3F0F0696" w14:textId="77777777" w:rsidR="007C4A60" w:rsidRPr="00321CBD" w:rsidRDefault="007C4A60" w:rsidP="006C2DFE">
            <w:pPr>
              <w:spacing w:line="360" w:lineRule="auto"/>
              <w:jc w:val="both"/>
              <w:rPr>
                <w:rFonts w:ascii="Times New Roman" w:hAnsi="Times New Roman" w:cs="Times New Roman"/>
                <w:sz w:val="24"/>
                <w:szCs w:val="24"/>
                <w:lang w:val="lv-LV"/>
              </w:rPr>
            </w:pPr>
          </w:p>
        </w:tc>
      </w:tr>
    </w:tbl>
    <w:p w14:paraId="47AF7EED" w14:textId="77777777" w:rsidR="006C2DFE" w:rsidRPr="00321CBD" w:rsidRDefault="006C2DFE" w:rsidP="006C2DFE">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Polipa histoloģijas analīze</w:t>
      </w:r>
    </w:p>
    <w:p w14:paraId="32A51387" w14:textId="68B16F2B" w:rsidR="006C2DFE" w:rsidRPr="00321CBD" w:rsidRDefault="006C2DFE" w:rsidP="006C2DFE">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Analizējot polipa hist</w:t>
      </w:r>
      <w:r w:rsidR="00785DF8">
        <w:rPr>
          <w:rFonts w:ascii="Times New Roman" w:hAnsi="Times New Roman" w:cs="Times New Roman"/>
          <w:sz w:val="24"/>
          <w:szCs w:val="24"/>
          <w:lang w:val="lv-LV"/>
        </w:rPr>
        <w:t>oloģiju visbiežākais tips bija f</w:t>
      </w:r>
      <w:r w:rsidRPr="00321CBD">
        <w:rPr>
          <w:rFonts w:ascii="Times New Roman" w:hAnsi="Times New Roman" w:cs="Times New Roman"/>
          <w:sz w:val="24"/>
          <w:szCs w:val="24"/>
          <w:lang w:val="lv-LV"/>
        </w:rPr>
        <w:t>ibroadenomatozs polips (73,5%). Pilns histoloģisks sad</w:t>
      </w:r>
      <w:r w:rsidR="00E43C8D">
        <w:rPr>
          <w:rFonts w:ascii="Times New Roman" w:hAnsi="Times New Roman" w:cs="Times New Roman"/>
          <w:sz w:val="24"/>
          <w:szCs w:val="24"/>
          <w:lang w:val="lv-LV"/>
        </w:rPr>
        <w:t>a</w:t>
      </w:r>
      <w:r w:rsidRPr="00321CBD">
        <w:rPr>
          <w:rFonts w:ascii="Times New Roman" w:hAnsi="Times New Roman" w:cs="Times New Roman"/>
          <w:sz w:val="24"/>
          <w:szCs w:val="24"/>
          <w:lang w:val="lv-LV"/>
        </w:rPr>
        <w:t>lījums redzams Grafikā 3.</w:t>
      </w:r>
    </w:p>
    <w:p w14:paraId="01EAFC30" w14:textId="77777777" w:rsidR="006C2DFE" w:rsidRPr="00321CBD" w:rsidRDefault="006C2DFE" w:rsidP="006C2DFE">
      <w:pPr>
        <w:spacing w:line="360" w:lineRule="auto"/>
        <w:jc w:val="both"/>
        <w:rPr>
          <w:rFonts w:ascii="Times New Roman" w:hAnsi="Times New Roman" w:cs="Times New Roman"/>
          <w:sz w:val="24"/>
          <w:szCs w:val="24"/>
          <w:lang w:val="lv-LV"/>
        </w:rPr>
      </w:pPr>
      <w:r w:rsidRPr="00321CBD">
        <w:rPr>
          <w:rFonts w:ascii="Times New Roman" w:hAnsi="Times New Roman" w:cs="Times New Roman"/>
          <w:noProof/>
          <w:sz w:val="24"/>
          <w:szCs w:val="24"/>
        </w:rPr>
        <w:lastRenderedPageBreak/>
        <mc:AlternateContent>
          <mc:Choice Requires="wps">
            <w:drawing>
              <wp:anchor distT="0" distB="0" distL="114300" distR="114300" simplePos="0" relativeHeight="251668480" behindDoc="0" locked="0" layoutInCell="1" allowOverlap="1" wp14:anchorId="537CFE99" wp14:editId="7D400E2B">
                <wp:simplePos x="0" y="0"/>
                <wp:positionH relativeFrom="column">
                  <wp:posOffset>152152</wp:posOffset>
                </wp:positionH>
                <wp:positionV relativeFrom="paragraph">
                  <wp:posOffset>3069582</wp:posOffset>
                </wp:positionV>
                <wp:extent cx="5495925" cy="276225"/>
                <wp:effectExtent l="0" t="0" r="9525" b="9525"/>
                <wp:wrapNone/>
                <wp:docPr id="11" name="Text Box 11"/>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0446530D" w14:textId="77777777" w:rsidR="00090782" w:rsidRPr="006B394C" w:rsidRDefault="00090782" w:rsidP="006C2DFE">
                            <w:pPr>
                              <w:pBdr>
                                <w:top w:val="single" w:sz="4" w:space="1" w:color="009900"/>
                              </w:pBdr>
                              <w:rPr>
                                <w:b/>
                                <w:lang w:val="lv-LV"/>
                              </w:rPr>
                            </w:pPr>
                            <w:r>
                              <w:rPr>
                                <w:b/>
                                <w:lang w:val="lv-LV"/>
                              </w:rPr>
                              <w:t>Grafiks 3</w:t>
                            </w:r>
                            <w:r w:rsidRPr="006B394C">
                              <w:rPr>
                                <w:b/>
                                <w:lang w:val="lv-LV"/>
                              </w:rPr>
                              <w:t xml:space="preserve">. </w:t>
                            </w:r>
                            <w:r>
                              <w:rPr>
                                <w:b/>
                                <w:lang w:val="lv-LV"/>
                              </w:rPr>
                              <w:t>Polipa histoloģiska uzbūve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1" o:spid="_x0000_s1030" type="#_x0000_t202" style="position:absolute;left:0;text-align:left;margin-left:12pt;margin-top:241.7pt;width:432.75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" fillcolor="white [3201]" stroked="f" strokeweight=".25pt">
                <v:textbox>
                  <w:txbxContent>
                    <w:p w14:paraId="0446530D" w14:textId="77777777" w:rsidR="00C717B0" w:rsidRPr="006B394C" w:rsidRDefault="00C717B0" w:rsidP="006C2DFE">
                      <w:pPr>
                        <w:pBdr>
                          <w:top w:val="single" w:sz="4" w:space="1" w:color="009900"/>
                        </w:pBdr>
                        <w:rPr>
                          <w:b/>
                          <w:lang w:val="lv-LV"/>
                        </w:rPr>
                      </w:pPr>
                      <w:r>
                        <w:rPr>
                          <w:b/>
                          <w:lang w:val="lv-LV"/>
                        </w:rPr>
                        <w:t>Grafiks 3</w:t>
                      </w:r>
                      <w:r w:rsidRPr="006B394C">
                        <w:rPr>
                          <w:b/>
                          <w:lang w:val="lv-LV"/>
                        </w:rPr>
                        <w:t xml:space="preserve">. </w:t>
                      </w:r>
                      <w:r>
                        <w:rPr>
                          <w:b/>
                          <w:lang w:val="lv-LV"/>
                        </w:rPr>
                        <w:t>Polipa histoloģiska uzbūve (%)</w:t>
                      </w:r>
                    </w:p>
                  </w:txbxContent>
                </v:textbox>
              </v:shape>
            </w:pict>
          </mc:Fallback>
        </mc:AlternateContent>
      </w:r>
      <w:r w:rsidRPr="00321CBD">
        <w:rPr>
          <w:rFonts w:ascii="Times New Roman" w:hAnsi="Times New Roman" w:cs="Times New Roman"/>
          <w:noProof/>
          <w:sz w:val="24"/>
          <w:szCs w:val="24"/>
        </w:rPr>
        <w:drawing>
          <wp:inline distT="0" distB="0" distL="0" distR="0" wp14:anchorId="1D6C789E" wp14:editId="655BF593">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ED95E42" w14:textId="77777777" w:rsidR="004C18B3" w:rsidRPr="00321CBD" w:rsidRDefault="004C18B3" w:rsidP="00F07DD9">
      <w:pPr>
        <w:spacing w:line="360" w:lineRule="auto"/>
        <w:jc w:val="both"/>
        <w:rPr>
          <w:rFonts w:ascii="Times New Roman" w:hAnsi="Times New Roman" w:cs="Times New Roman"/>
          <w:sz w:val="24"/>
          <w:szCs w:val="24"/>
          <w:lang w:val="lv-LV"/>
        </w:rPr>
      </w:pPr>
    </w:p>
    <w:p w14:paraId="6401D2E2" w14:textId="050A6AAD" w:rsidR="00B16960" w:rsidRPr="00321CBD" w:rsidRDefault="004D00E4"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Sievietēm menopauz</w:t>
      </w:r>
      <w:r w:rsidR="00E43C8D">
        <w:rPr>
          <w:rFonts w:ascii="Times New Roman" w:hAnsi="Times New Roman" w:cs="Times New Roman"/>
          <w:sz w:val="24"/>
          <w:szCs w:val="24"/>
          <w:lang w:val="lv-LV"/>
        </w:rPr>
        <w:t>es periodā</w:t>
      </w:r>
      <w:r w:rsidRPr="00321CBD">
        <w:rPr>
          <w:rFonts w:ascii="Times New Roman" w:hAnsi="Times New Roman" w:cs="Times New Roman"/>
          <w:sz w:val="24"/>
          <w:szCs w:val="24"/>
          <w:lang w:val="lv-LV"/>
        </w:rPr>
        <w:t xml:space="preserve"> visbiežā</w:t>
      </w:r>
      <w:r w:rsidR="00E43C8D">
        <w:rPr>
          <w:rFonts w:ascii="Times New Roman" w:hAnsi="Times New Roman" w:cs="Times New Roman"/>
          <w:sz w:val="24"/>
          <w:szCs w:val="24"/>
          <w:lang w:val="lv-LV"/>
        </w:rPr>
        <w:t xml:space="preserve">k tika novērots </w:t>
      </w:r>
      <w:r w:rsidR="00664A46">
        <w:rPr>
          <w:rFonts w:ascii="Times New Roman" w:hAnsi="Times New Roman" w:cs="Times New Roman"/>
          <w:sz w:val="24"/>
          <w:szCs w:val="24"/>
          <w:lang w:val="lv-LV"/>
        </w:rPr>
        <w:t>atrofisk</w:t>
      </w:r>
      <w:r w:rsidRPr="00321CBD">
        <w:rPr>
          <w:rFonts w:ascii="Times New Roman" w:hAnsi="Times New Roman" w:cs="Times New Roman"/>
          <w:sz w:val="24"/>
          <w:szCs w:val="24"/>
          <w:lang w:val="lv-LV"/>
        </w:rPr>
        <w:t>s</w:t>
      </w:r>
      <w:r w:rsidR="00E43C8D">
        <w:rPr>
          <w:rFonts w:ascii="Times New Roman" w:hAnsi="Times New Roman" w:cs="Times New Roman"/>
          <w:sz w:val="24"/>
          <w:szCs w:val="24"/>
          <w:lang w:val="lv-LV"/>
        </w:rPr>
        <w:t xml:space="preserve"> polips</w:t>
      </w:r>
      <w:r w:rsidRPr="00321CBD">
        <w:rPr>
          <w:rFonts w:ascii="Times New Roman" w:hAnsi="Times New Roman" w:cs="Times New Roman"/>
          <w:sz w:val="24"/>
          <w:szCs w:val="24"/>
          <w:lang w:val="lv-LV"/>
        </w:rPr>
        <w:t xml:space="preserve"> (56,7%). </w:t>
      </w:r>
      <w:r w:rsidR="00B16960" w:rsidRPr="00321CBD">
        <w:rPr>
          <w:rFonts w:ascii="Times New Roman" w:hAnsi="Times New Roman" w:cs="Times New Roman"/>
          <w:sz w:val="24"/>
          <w:szCs w:val="24"/>
          <w:lang w:val="lv-LV"/>
        </w:rPr>
        <w:t xml:space="preserve"> Otrs pēc biežuma bija fibroadenomatoz</w:t>
      </w:r>
      <w:r w:rsidR="00E43C8D">
        <w:rPr>
          <w:rFonts w:ascii="Times New Roman" w:hAnsi="Times New Roman" w:cs="Times New Roman"/>
          <w:sz w:val="24"/>
          <w:szCs w:val="24"/>
          <w:lang w:val="lv-LV"/>
        </w:rPr>
        <w:t>s</w:t>
      </w:r>
      <w:r w:rsidR="00B16960" w:rsidRPr="00321CBD">
        <w:rPr>
          <w:rFonts w:ascii="Times New Roman" w:hAnsi="Times New Roman" w:cs="Times New Roman"/>
          <w:sz w:val="24"/>
          <w:szCs w:val="24"/>
          <w:lang w:val="lv-LV"/>
        </w:rPr>
        <w:t xml:space="preserve"> polips (40%). Tikai vien</w:t>
      </w:r>
      <w:r w:rsidR="00E43C8D">
        <w:rPr>
          <w:rFonts w:ascii="Times New Roman" w:hAnsi="Times New Roman" w:cs="Times New Roman"/>
          <w:sz w:val="24"/>
          <w:szCs w:val="24"/>
          <w:lang w:val="lv-LV"/>
        </w:rPr>
        <w:t>ā</w:t>
      </w:r>
      <w:r w:rsidR="00B16960" w:rsidRPr="00321CBD">
        <w:rPr>
          <w:rFonts w:ascii="Times New Roman" w:hAnsi="Times New Roman" w:cs="Times New Roman"/>
          <w:sz w:val="24"/>
          <w:szCs w:val="24"/>
          <w:lang w:val="lv-LV"/>
        </w:rPr>
        <w:t xml:space="preserve"> gadījumā histoloģ</w:t>
      </w:r>
      <w:r w:rsidR="00E43C8D">
        <w:rPr>
          <w:rFonts w:ascii="Times New Roman" w:hAnsi="Times New Roman" w:cs="Times New Roman"/>
          <w:sz w:val="24"/>
          <w:szCs w:val="24"/>
          <w:lang w:val="lv-LV"/>
        </w:rPr>
        <w:t>i</w:t>
      </w:r>
      <w:r w:rsidR="00B16960" w:rsidRPr="00321CBD">
        <w:rPr>
          <w:rFonts w:ascii="Times New Roman" w:hAnsi="Times New Roman" w:cs="Times New Roman"/>
          <w:sz w:val="24"/>
          <w:szCs w:val="24"/>
          <w:lang w:val="lv-LV"/>
        </w:rPr>
        <w:t xml:space="preserve">jā </w:t>
      </w:r>
      <w:r w:rsidR="00E43C8D">
        <w:rPr>
          <w:rFonts w:ascii="Times New Roman" w:hAnsi="Times New Roman" w:cs="Times New Roman"/>
          <w:sz w:val="24"/>
          <w:szCs w:val="24"/>
          <w:lang w:val="lv-LV"/>
        </w:rPr>
        <w:t>uzrādīja</w:t>
      </w:r>
      <w:r w:rsidR="00E43C8D" w:rsidRPr="00321CBD">
        <w:rPr>
          <w:rFonts w:ascii="Times New Roman" w:hAnsi="Times New Roman" w:cs="Times New Roman"/>
          <w:sz w:val="24"/>
          <w:szCs w:val="24"/>
          <w:lang w:val="lv-LV"/>
        </w:rPr>
        <w:t xml:space="preserve"> </w:t>
      </w:r>
      <w:r w:rsidR="00B16960" w:rsidRPr="00321CBD">
        <w:rPr>
          <w:rFonts w:ascii="Times New Roman" w:hAnsi="Times New Roman" w:cs="Times New Roman"/>
          <w:sz w:val="24"/>
          <w:szCs w:val="24"/>
          <w:lang w:val="lv-LV"/>
        </w:rPr>
        <w:t>hiperplastisk</w:t>
      </w:r>
      <w:r w:rsidR="00E43C8D">
        <w:rPr>
          <w:rFonts w:ascii="Times New Roman" w:hAnsi="Times New Roman" w:cs="Times New Roman"/>
          <w:sz w:val="24"/>
          <w:szCs w:val="24"/>
          <w:lang w:val="lv-LV"/>
        </w:rPr>
        <w:t>o</w:t>
      </w:r>
      <w:r w:rsidR="00B16960" w:rsidRPr="00321CBD">
        <w:rPr>
          <w:rFonts w:ascii="Times New Roman" w:hAnsi="Times New Roman" w:cs="Times New Roman"/>
          <w:sz w:val="24"/>
          <w:szCs w:val="24"/>
          <w:lang w:val="lv-LV"/>
        </w:rPr>
        <w:t xml:space="preserve"> polip</w:t>
      </w:r>
      <w:r w:rsidR="00E43C8D">
        <w:rPr>
          <w:rFonts w:ascii="Times New Roman" w:hAnsi="Times New Roman" w:cs="Times New Roman"/>
          <w:sz w:val="24"/>
          <w:szCs w:val="24"/>
          <w:lang w:val="lv-LV"/>
        </w:rPr>
        <w:t>u</w:t>
      </w:r>
      <w:r w:rsidR="00B16960" w:rsidRPr="00321CBD">
        <w:rPr>
          <w:rFonts w:ascii="Times New Roman" w:hAnsi="Times New Roman" w:cs="Times New Roman"/>
          <w:sz w:val="24"/>
          <w:szCs w:val="24"/>
          <w:lang w:val="lv-LV"/>
        </w:rPr>
        <w:t xml:space="preserve"> (3.3%). Sievietēm reproduktīvā vecumā fibroadenomatozs polips tika </w:t>
      </w:r>
      <w:r w:rsidR="00E43C8D">
        <w:rPr>
          <w:rFonts w:ascii="Times New Roman" w:hAnsi="Times New Roman" w:cs="Times New Roman"/>
          <w:sz w:val="24"/>
          <w:szCs w:val="24"/>
          <w:lang w:val="lv-LV"/>
        </w:rPr>
        <w:t>novērots</w:t>
      </w:r>
      <w:r w:rsidR="00E43C8D" w:rsidRPr="00321CBD">
        <w:rPr>
          <w:rFonts w:ascii="Times New Roman" w:hAnsi="Times New Roman" w:cs="Times New Roman"/>
          <w:sz w:val="24"/>
          <w:szCs w:val="24"/>
          <w:lang w:val="lv-LV"/>
        </w:rPr>
        <w:t xml:space="preserve"> </w:t>
      </w:r>
      <w:r w:rsidR="00B16960" w:rsidRPr="00321CBD">
        <w:rPr>
          <w:rFonts w:ascii="Times New Roman" w:hAnsi="Times New Roman" w:cs="Times New Roman"/>
          <w:sz w:val="24"/>
          <w:szCs w:val="24"/>
          <w:lang w:val="lv-LV"/>
        </w:rPr>
        <w:t xml:space="preserve">vairāk nekā 80% gadījumos (83,3%). </w:t>
      </w:r>
      <w:r w:rsidR="00E43C8D" w:rsidRPr="00321CBD">
        <w:rPr>
          <w:rFonts w:ascii="Times New Roman" w:hAnsi="Times New Roman" w:cs="Times New Roman"/>
          <w:sz w:val="24"/>
          <w:szCs w:val="24"/>
          <w:lang w:val="lv-LV"/>
        </w:rPr>
        <w:t>Pārējie</w:t>
      </w:r>
      <w:r w:rsidR="00B16960" w:rsidRPr="00321CBD">
        <w:rPr>
          <w:rFonts w:ascii="Times New Roman" w:hAnsi="Times New Roman" w:cs="Times New Roman"/>
          <w:sz w:val="24"/>
          <w:szCs w:val="24"/>
          <w:lang w:val="lv-LV"/>
        </w:rPr>
        <w:t xml:space="preserve"> bija hiperplastisk</w:t>
      </w:r>
      <w:r w:rsidR="00E43C8D">
        <w:rPr>
          <w:rFonts w:ascii="Times New Roman" w:hAnsi="Times New Roman" w:cs="Times New Roman"/>
          <w:sz w:val="24"/>
          <w:szCs w:val="24"/>
          <w:lang w:val="lv-LV"/>
        </w:rPr>
        <w:t>i</w:t>
      </w:r>
      <w:r w:rsidR="00B16960" w:rsidRPr="00321CBD">
        <w:rPr>
          <w:rFonts w:ascii="Times New Roman" w:hAnsi="Times New Roman" w:cs="Times New Roman"/>
          <w:sz w:val="24"/>
          <w:szCs w:val="24"/>
          <w:lang w:val="lv-LV"/>
        </w:rPr>
        <w:t xml:space="preserve"> polip</w:t>
      </w:r>
      <w:r w:rsidR="00E43C8D">
        <w:rPr>
          <w:rFonts w:ascii="Times New Roman" w:hAnsi="Times New Roman" w:cs="Times New Roman"/>
          <w:sz w:val="24"/>
          <w:szCs w:val="24"/>
          <w:lang w:val="lv-LV"/>
        </w:rPr>
        <w:t>i</w:t>
      </w:r>
      <w:r w:rsidR="00B16960" w:rsidRPr="00321CBD">
        <w:rPr>
          <w:rFonts w:ascii="Times New Roman" w:hAnsi="Times New Roman" w:cs="Times New Roman"/>
          <w:sz w:val="24"/>
          <w:szCs w:val="24"/>
          <w:lang w:val="lv-LV"/>
        </w:rPr>
        <w:t xml:space="preserve"> (11,8%) un funkcionāl</w:t>
      </w:r>
      <w:r w:rsidR="00E43C8D">
        <w:rPr>
          <w:rFonts w:ascii="Times New Roman" w:hAnsi="Times New Roman" w:cs="Times New Roman"/>
          <w:sz w:val="24"/>
          <w:szCs w:val="24"/>
          <w:lang w:val="lv-LV"/>
        </w:rPr>
        <w:t>i</w:t>
      </w:r>
      <w:r w:rsidR="00B16960" w:rsidRPr="00321CBD">
        <w:rPr>
          <w:rFonts w:ascii="Times New Roman" w:hAnsi="Times New Roman" w:cs="Times New Roman"/>
          <w:sz w:val="24"/>
          <w:szCs w:val="24"/>
          <w:lang w:val="lv-LV"/>
        </w:rPr>
        <w:t xml:space="preserve"> polip</w:t>
      </w:r>
      <w:r w:rsidR="00E43C8D">
        <w:rPr>
          <w:rFonts w:ascii="Times New Roman" w:hAnsi="Times New Roman" w:cs="Times New Roman"/>
          <w:sz w:val="24"/>
          <w:szCs w:val="24"/>
          <w:lang w:val="lv-LV"/>
        </w:rPr>
        <w:t>i</w:t>
      </w:r>
      <w:r w:rsidR="00B16960" w:rsidRPr="00321CBD">
        <w:rPr>
          <w:rFonts w:ascii="Times New Roman" w:hAnsi="Times New Roman" w:cs="Times New Roman"/>
          <w:sz w:val="24"/>
          <w:szCs w:val="24"/>
          <w:lang w:val="lv-LV"/>
        </w:rPr>
        <w:t xml:space="preserve"> (4,9%). </w:t>
      </w:r>
      <w:r w:rsidR="00740F04" w:rsidRPr="00321CBD">
        <w:rPr>
          <w:rFonts w:ascii="Times New Roman" w:hAnsi="Times New Roman" w:cs="Times New Roman"/>
          <w:sz w:val="24"/>
          <w:szCs w:val="24"/>
          <w:lang w:val="lv-LV"/>
        </w:rPr>
        <w:t>T</w:t>
      </w:r>
      <w:r w:rsidR="00A40A7E" w:rsidRPr="00321CBD">
        <w:rPr>
          <w:rFonts w:ascii="Times New Roman" w:hAnsi="Times New Roman" w:cs="Times New Roman"/>
          <w:sz w:val="24"/>
          <w:szCs w:val="24"/>
          <w:lang w:val="lv-LV"/>
        </w:rPr>
        <w:t>rijām sievietēm konstatēta</w:t>
      </w:r>
      <w:r w:rsidR="00740F04" w:rsidRPr="00321CBD">
        <w:rPr>
          <w:rFonts w:ascii="Times New Roman" w:hAnsi="Times New Roman" w:cs="Times New Roman"/>
          <w:sz w:val="24"/>
          <w:szCs w:val="24"/>
          <w:lang w:val="lv-LV"/>
        </w:rPr>
        <w:t xml:space="preserve"> hiperplāzija polipā. 1 no tām bija menopauzē.</w:t>
      </w:r>
    </w:p>
    <w:p w14:paraId="35040ED4" w14:textId="01850EDB" w:rsidR="00740F04" w:rsidRPr="00321CBD" w:rsidRDefault="00E43C8D" w:rsidP="00246C01">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Analizējot</w:t>
      </w:r>
      <w:r w:rsidR="00C76901" w:rsidRPr="00321CBD">
        <w:rPr>
          <w:rFonts w:ascii="Times New Roman" w:hAnsi="Times New Roman" w:cs="Times New Roman"/>
          <w:sz w:val="24"/>
          <w:szCs w:val="24"/>
          <w:lang w:val="lv-LV"/>
        </w:rPr>
        <w:t xml:space="preserve"> sūdzības par asiņošanu dažādiem polipa </w:t>
      </w:r>
      <w:r w:rsidR="00BC3FDA" w:rsidRPr="00321CBD">
        <w:rPr>
          <w:rFonts w:ascii="Times New Roman" w:hAnsi="Times New Roman" w:cs="Times New Roman"/>
          <w:sz w:val="24"/>
          <w:szCs w:val="24"/>
          <w:lang w:val="lv-LV"/>
        </w:rPr>
        <w:t>tipiem</w:t>
      </w:r>
      <w:r>
        <w:rPr>
          <w:rFonts w:ascii="Times New Roman" w:hAnsi="Times New Roman" w:cs="Times New Roman"/>
          <w:sz w:val="24"/>
          <w:szCs w:val="24"/>
          <w:lang w:val="lv-LV"/>
        </w:rPr>
        <w:t>,</w:t>
      </w:r>
      <w:r w:rsidR="00BC3FDA" w:rsidRPr="00321CBD">
        <w:rPr>
          <w:rFonts w:ascii="Times New Roman" w:hAnsi="Times New Roman" w:cs="Times New Roman"/>
          <w:sz w:val="24"/>
          <w:szCs w:val="24"/>
          <w:lang w:val="lv-LV"/>
        </w:rPr>
        <w:t xml:space="preserve"> izrādās, ka visiem tipiem bija raksturīga </w:t>
      </w:r>
      <w:r w:rsidR="00167C36" w:rsidRPr="00321CBD">
        <w:rPr>
          <w:rFonts w:ascii="Times New Roman" w:hAnsi="Times New Roman" w:cs="Times New Roman"/>
          <w:sz w:val="24"/>
          <w:szCs w:val="24"/>
          <w:lang w:val="lv-LV"/>
        </w:rPr>
        <w:t xml:space="preserve">dažāda veida </w:t>
      </w:r>
      <w:r w:rsidR="00BC3FDA" w:rsidRPr="00321CBD">
        <w:rPr>
          <w:rFonts w:ascii="Times New Roman" w:hAnsi="Times New Roman" w:cs="Times New Roman"/>
          <w:sz w:val="24"/>
          <w:szCs w:val="24"/>
          <w:lang w:val="lv-LV"/>
        </w:rPr>
        <w:t>asiņošana no dzimumceļiem. Sīkāks sadalījums redzams Tabulā 7.</w:t>
      </w:r>
    </w:p>
    <w:tbl>
      <w:tblPr>
        <w:tblStyle w:val="TableGrid"/>
        <w:tblW w:w="0" w:type="auto"/>
        <w:tblLook w:val="04A0" w:firstRow="1" w:lastRow="0" w:firstColumn="1" w:lastColumn="0" w:noHBand="0" w:noVBand="1"/>
      </w:tblPr>
      <w:tblGrid>
        <w:gridCol w:w="1544"/>
        <w:gridCol w:w="59"/>
        <w:gridCol w:w="1772"/>
        <w:gridCol w:w="351"/>
        <w:gridCol w:w="1633"/>
        <w:gridCol w:w="1697"/>
        <w:gridCol w:w="1470"/>
        <w:gridCol w:w="1094"/>
      </w:tblGrid>
      <w:tr w:rsidR="00246C01" w:rsidRPr="00321CBD" w14:paraId="2A87254B" w14:textId="77777777" w:rsidTr="0088363B">
        <w:tc>
          <w:tcPr>
            <w:tcW w:w="9620" w:type="dxa"/>
            <w:gridSpan w:val="8"/>
            <w:tcBorders>
              <w:top w:val="single" w:sz="24" w:space="0" w:color="009900"/>
              <w:left w:val="nil"/>
              <w:bottom w:val="single" w:sz="24" w:space="0" w:color="009900"/>
              <w:right w:val="nil"/>
            </w:tcBorders>
          </w:tcPr>
          <w:p w14:paraId="77B9B5FA" w14:textId="6897A8F8" w:rsidR="00246C01" w:rsidRPr="00321CBD" w:rsidRDefault="00246C01" w:rsidP="00BC3FDA">
            <w:pPr>
              <w:spacing w:after="200"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 xml:space="preserve">Tabula 7. </w:t>
            </w:r>
            <w:r w:rsidR="00E43C8D" w:rsidRPr="00321CBD">
              <w:rPr>
                <w:rFonts w:ascii="Times New Roman" w:hAnsi="Times New Roman" w:cs="Times New Roman"/>
                <w:b/>
                <w:sz w:val="24"/>
                <w:szCs w:val="24"/>
                <w:lang w:val="lv-LV"/>
              </w:rPr>
              <w:t>Sūdzības</w:t>
            </w:r>
            <w:r w:rsidRPr="00321CBD">
              <w:rPr>
                <w:rFonts w:ascii="Times New Roman" w:hAnsi="Times New Roman" w:cs="Times New Roman"/>
                <w:b/>
                <w:sz w:val="24"/>
                <w:szCs w:val="24"/>
                <w:lang w:val="lv-LV"/>
              </w:rPr>
              <w:t xml:space="preserve"> par asiņošanu pie dažādiem polipa tipiem</w:t>
            </w:r>
          </w:p>
        </w:tc>
      </w:tr>
      <w:tr w:rsidR="00246C01" w:rsidRPr="00321CBD" w14:paraId="29D2BCDE" w14:textId="77777777" w:rsidTr="00BC3FDA">
        <w:trPr>
          <w:gridAfter w:val="1"/>
          <w:wAfter w:w="1531" w:type="dxa"/>
        </w:trPr>
        <w:tc>
          <w:tcPr>
            <w:tcW w:w="1993" w:type="dxa"/>
            <w:gridSpan w:val="2"/>
            <w:tcBorders>
              <w:top w:val="single" w:sz="24" w:space="0" w:color="009900"/>
              <w:left w:val="nil"/>
              <w:bottom w:val="nil"/>
              <w:right w:val="nil"/>
            </w:tcBorders>
          </w:tcPr>
          <w:p w14:paraId="1DAE7043" w14:textId="77777777" w:rsidR="00BC3FDA" w:rsidRPr="00321CBD" w:rsidRDefault="00BC3FDA" w:rsidP="0088363B">
            <w:pPr>
              <w:spacing w:line="360" w:lineRule="auto"/>
              <w:jc w:val="both"/>
              <w:rPr>
                <w:rFonts w:ascii="Times New Roman" w:hAnsi="Times New Roman" w:cs="Times New Roman"/>
                <w:sz w:val="24"/>
                <w:szCs w:val="24"/>
                <w:lang w:val="lv-LV"/>
              </w:rPr>
            </w:pPr>
          </w:p>
        </w:tc>
        <w:tc>
          <w:tcPr>
            <w:tcW w:w="1645" w:type="dxa"/>
            <w:gridSpan w:val="2"/>
            <w:tcBorders>
              <w:top w:val="single" w:sz="18" w:space="0" w:color="009900"/>
              <w:left w:val="nil"/>
              <w:bottom w:val="nil"/>
              <w:right w:val="nil"/>
            </w:tcBorders>
          </w:tcPr>
          <w:p w14:paraId="48156ECA" w14:textId="77777777" w:rsidR="00BC3FDA" w:rsidRPr="00321CBD" w:rsidRDefault="00246C01"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Fibroadenomatozs</w:t>
            </w:r>
          </w:p>
        </w:tc>
        <w:tc>
          <w:tcPr>
            <w:tcW w:w="1821" w:type="dxa"/>
            <w:tcBorders>
              <w:top w:val="single" w:sz="18" w:space="0" w:color="009900"/>
              <w:left w:val="nil"/>
              <w:bottom w:val="nil"/>
              <w:right w:val="nil"/>
            </w:tcBorders>
          </w:tcPr>
          <w:p w14:paraId="79481AEA" w14:textId="77777777" w:rsidR="00BC3FDA" w:rsidRPr="00321CBD" w:rsidRDefault="00246C01"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Atrofisks</w:t>
            </w:r>
          </w:p>
        </w:tc>
        <w:tc>
          <w:tcPr>
            <w:tcW w:w="1315" w:type="dxa"/>
            <w:tcBorders>
              <w:top w:val="single" w:sz="18" w:space="0" w:color="009900"/>
              <w:left w:val="nil"/>
              <w:bottom w:val="nil"/>
              <w:right w:val="nil"/>
            </w:tcBorders>
          </w:tcPr>
          <w:p w14:paraId="5E3D738C" w14:textId="77777777" w:rsidR="00BC3FDA" w:rsidRPr="00321CBD" w:rsidRDefault="00246C01"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Hiperplastisks</w:t>
            </w:r>
          </w:p>
        </w:tc>
        <w:tc>
          <w:tcPr>
            <w:tcW w:w="1315" w:type="dxa"/>
            <w:tcBorders>
              <w:top w:val="single" w:sz="18" w:space="0" w:color="009900"/>
              <w:left w:val="nil"/>
              <w:bottom w:val="nil"/>
              <w:right w:val="nil"/>
            </w:tcBorders>
          </w:tcPr>
          <w:p w14:paraId="7686BB77" w14:textId="77777777" w:rsidR="00BC3FDA" w:rsidRPr="00321CBD" w:rsidRDefault="00246C01"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Funkcionāls</w:t>
            </w:r>
          </w:p>
        </w:tc>
      </w:tr>
      <w:tr w:rsidR="00246C01" w:rsidRPr="00321CBD" w14:paraId="7293670F" w14:textId="77777777" w:rsidTr="00BC3FDA">
        <w:trPr>
          <w:gridAfter w:val="1"/>
          <w:wAfter w:w="1531" w:type="dxa"/>
        </w:trPr>
        <w:tc>
          <w:tcPr>
            <w:tcW w:w="1993" w:type="dxa"/>
            <w:gridSpan w:val="2"/>
            <w:tcBorders>
              <w:top w:val="nil"/>
              <w:left w:val="nil"/>
              <w:bottom w:val="nil"/>
              <w:right w:val="nil"/>
            </w:tcBorders>
          </w:tcPr>
          <w:p w14:paraId="14A45536" w14:textId="77777777" w:rsidR="00BC3FDA" w:rsidRPr="00321CBD" w:rsidRDefault="00246C01"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Ir</w:t>
            </w:r>
          </w:p>
        </w:tc>
        <w:tc>
          <w:tcPr>
            <w:tcW w:w="1645" w:type="dxa"/>
            <w:gridSpan w:val="2"/>
            <w:tcBorders>
              <w:top w:val="nil"/>
              <w:left w:val="nil"/>
              <w:bottom w:val="nil"/>
              <w:right w:val="nil"/>
            </w:tcBorders>
          </w:tcPr>
          <w:p w14:paraId="7F65B3CF" w14:textId="77777777" w:rsidR="00BC3FDA" w:rsidRPr="00321CBD" w:rsidRDefault="00246C01"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64</w:t>
            </w:r>
            <w:r w:rsidR="00167C36"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(95,5%)</w:t>
            </w:r>
          </w:p>
        </w:tc>
        <w:tc>
          <w:tcPr>
            <w:tcW w:w="1821" w:type="dxa"/>
            <w:tcBorders>
              <w:top w:val="nil"/>
              <w:left w:val="nil"/>
              <w:bottom w:val="nil"/>
              <w:right w:val="nil"/>
            </w:tcBorders>
          </w:tcPr>
          <w:p w14:paraId="7BAFF911" w14:textId="77777777" w:rsidR="00BC3FDA" w:rsidRPr="00321CBD" w:rsidRDefault="00246C01"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4</w:t>
            </w:r>
            <w:r w:rsidR="00167C36"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w:t>
            </w:r>
            <w:r w:rsidR="00167C36" w:rsidRPr="00321CBD">
              <w:rPr>
                <w:rFonts w:ascii="Times New Roman" w:hAnsi="Times New Roman" w:cs="Times New Roman"/>
                <w:sz w:val="24"/>
                <w:szCs w:val="24"/>
                <w:lang w:val="lv-LV"/>
              </w:rPr>
              <w:t>66,7%</w:t>
            </w:r>
            <w:r w:rsidRPr="00321CBD">
              <w:rPr>
                <w:rFonts w:ascii="Times New Roman" w:hAnsi="Times New Roman" w:cs="Times New Roman"/>
                <w:sz w:val="24"/>
                <w:szCs w:val="24"/>
                <w:lang w:val="lv-LV"/>
              </w:rPr>
              <w:t>)</w:t>
            </w:r>
          </w:p>
        </w:tc>
        <w:tc>
          <w:tcPr>
            <w:tcW w:w="1315" w:type="dxa"/>
            <w:tcBorders>
              <w:top w:val="nil"/>
              <w:left w:val="nil"/>
              <w:bottom w:val="nil"/>
              <w:right w:val="nil"/>
            </w:tcBorders>
          </w:tcPr>
          <w:p w14:paraId="28F2FE88" w14:textId="77777777" w:rsidR="00BC3FDA" w:rsidRPr="00321CBD" w:rsidRDefault="00167C3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 (72,7%)</w:t>
            </w:r>
          </w:p>
        </w:tc>
        <w:tc>
          <w:tcPr>
            <w:tcW w:w="1315" w:type="dxa"/>
            <w:tcBorders>
              <w:top w:val="nil"/>
              <w:left w:val="nil"/>
              <w:bottom w:val="nil"/>
              <w:right w:val="nil"/>
            </w:tcBorders>
          </w:tcPr>
          <w:p w14:paraId="0D1B7CE7" w14:textId="77777777" w:rsidR="00BC3FDA" w:rsidRPr="00321CBD" w:rsidRDefault="00167C3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4 (100%)</w:t>
            </w:r>
          </w:p>
        </w:tc>
      </w:tr>
      <w:tr w:rsidR="00246C01" w:rsidRPr="00321CBD" w14:paraId="25A7E268" w14:textId="77777777" w:rsidTr="00BC3FDA">
        <w:trPr>
          <w:gridAfter w:val="1"/>
          <w:wAfter w:w="1531" w:type="dxa"/>
        </w:trPr>
        <w:tc>
          <w:tcPr>
            <w:tcW w:w="1993" w:type="dxa"/>
            <w:gridSpan w:val="2"/>
            <w:tcBorders>
              <w:top w:val="nil"/>
              <w:left w:val="nil"/>
              <w:bottom w:val="nil"/>
              <w:right w:val="nil"/>
            </w:tcBorders>
          </w:tcPr>
          <w:p w14:paraId="1BE58CAF" w14:textId="77777777" w:rsidR="00BC3FDA" w:rsidRPr="00321CBD" w:rsidRDefault="00246C01"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Nav</w:t>
            </w:r>
          </w:p>
        </w:tc>
        <w:tc>
          <w:tcPr>
            <w:tcW w:w="1645" w:type="dxa"/>
            <w:gridSpan w:val="2"/>
            <w:tcBorders>
              <w:top w:val="nil"/>
              <w:left w:val="nil"/>
              <w:bottom w:val="nil"/>
              <w:right w:val="nil"/>
            </w:tcBorders>
          </w:tcPr>
          <w:p w14:paraId="5052CE25" w14:textId="77777777" w:rsidR="00BC3FDA" w:rsidRPr="00321CBD" w:rsidRDefault="00246C01"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w:t>
            </w:r>
            <w:r w:rsidR="00167C36"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(4,5%)</w:t>
            </w:r>
          </w:p>
        </w:tc>
        <w:tc>
          <w:tcPr>
            <w:tcW w:w="1821" w:type="dxa"/>
            <w:tcBorders>
              <w:top w:val="nil"/>
              <w:left w:val="nil"/>
              <w:bottom w:val="nil"/>
              <w:right w:val="nil"/>
            </w:tcBorders>
          </w:tcPr>
          <w:p w14:paraId="13BB409A" w14:textId="77777777" w:rsidR="00BC3FDA" w:rsidRPr="00321CBD" w:rsidRDefault="00167C3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 (33,3%)</w:t>
            </w:r>
          </w:p>
        </w:tc>
        <w:tc>
          <w:tcPr>
            <w:tcW w:w="1315" w:type="dxa"/>
            <w:tcBorders>
              <w:top w:val="nil"/>
              <w:left w:val="nil"/>
              <w:bottom w:val="nil"/>
              <w:right w:val="nil"/>
            </w:tcBorders>
          </w:tcPr>
          <w:p w14:paraId="11AA21A6" w14:textId="77777777" w:rsidR="00BC3FDA" w:rsidRPr="00321CBD" w:rsidRDefault="00167C3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 (27,3%)</w:t>
            </w:r>
          </w:p>
        </w:tc>
        <w:tc>
          <w:tcPr>
            <w:tcW w:w="1315" w:type="dxa"/>
            <w:tcBorders>
              <w:top w:val="nil"/>
              <w:left w:val="nil"/>
              <w:bottom w:val="nil"/>
              <w:right w:val="nil"/>
            </w:tcBorders>
          </w:tcPr>
          <w:p w14:paraId="46D99EA4" w14:textId="77777777" w:rsidR="00BC3FDA" w:rsidRPr="00321CBD" w:rsidRDefault="00167C36"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0</w:t>
            </w:r>
          </w:p>
        </w:tc>
      </w:tr>
      <w:tr w:rsidR="00246C01" w:rsidRPr="00321CBD" w14:paraId="3CF037DA" w14:textId="77777777" w:rsidTr="00246C01">
        <w:tc>
          <w:tcPr>
            <w:tcW w:w="1916" w:type="dxa"/>
            <w:tcBorders>
              <w:top w:val="single" w:sz="18" w:space="0" w:color="009900"/>
              <w:left w:val="nil"/>
              <w:bottom w:val="nil"/>
              <w:right w:val="nil"/>
            </w:tcBorders>
          </w:tcPr>
          <w:p w14:paraId="34A567AE" w14:textId="77777777" w:rsidR="00BC3FDA" w:rsidRPr="00321CBD" w:rsidRDefault="00BC3FDA" w:rsidP="0088363B">
            <w:pPr>
              <w:spacing w:line="360" w:lineRule="auto"/>
              <w:jc w:val="both"/>
              <w:rPr>
                <w:rFonts w:ascii="Times New Roman" w:hAnsi="Times New Roman" w:cs="Times New Roman"/>
                <w:sz w:val="24"/>
                <w:szCs w:val="24"/>
                <w:lang w:val="lv-LV"/>
              </w:rPr>
            </w:pPr>
          </w:p>
        </w:tc>
        <w:tc>
          <w:tcPr>
            <w:tcW w:w="1453" w:type="dxa"/>
            <w:gridSpan w:val="2"/>
            <w:tcBorders>
              <w:top w:val="single" w:sz="18" w:space="0" w:color="009900"/>
              <w:left w:val="nil"/>
              <w:bottom w:val="nil"/>
              <w:right w:val="nil"/>
            </w:tcBorders>
          </w:tcPr>
          <w:p w14:paraId="48874505" w14:textId="77777777" w:rsidR="00BC3FDA" w:rsidRPr="00321CBD" w:rsidRDefault="00BC3FDA" w:rsidP="0088363B">
            <w:pPr>
              <w:spacing w:line="360" w:lineRule="auto"/>
              <w:jc w:val="both"/>
              <w:rPr>
                <w:rFonts w:ascii="Times New Roman" w:hAnsi="Times New Roman" w:cs="Times New Roman"/>
                <w:sz w:val="24"/>
                <w:szCs w:val="24"/>
                <w:lang w:val="lv-LV"/>
              </w:rPr>
            </w:pPr>
          </w:p>
        </w:tc>
        <w:tc>
          <w:tcPr>
            <w:tcW w:w="6251" w:type="dxa"/>
            <w:gridSpan w:val="5"/>
            <w:tcBorders>
              <w:top w:val="single" w:sz="18" w:space="0" w:color="009900"/>
              <w:left w:val="nil"/>
              <w:bottom w:val="nil"/>
              <w:right w:val="nil"/>
            </w:tcBorders>
          </w:tcPr>
          <w:p w14:paraId="086F9D3F" w14:textId="77777777" w:rsidR="00BC3FDA" w:rsidRPr="00321CBD" w:rsidRDefault="00BC3FDA" w:rsidP="0088363B">
            <w:pPr>
              <w:spacing w:line="360" w:lineRule="auto"/>
              <w:jc w:val="both"/>
              <w:rPr>
                <w:rFonts w:ascii="Times New Roman" w:hAnsi="Times New Roman" w:cs="Times New Roman"/>
                <w:sz w:val="24"/>
                <w:szCs w:val="24"/>
                <w:lang w:val="lv-LV"/>
              </w:rPr>
            </w:pPr>
          </w:p>
        </w:tc>
      </w:tr>
    </w:tbl>
    <w:p w14:paraId="669B8859" w14:textId="1D3A21E4" w:rsidR="00FE72C1" w:rsidRPr="00321CBD" w:rsidRDefault="00D2366C" w:rsidP="00F07DD9">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Menstru</w:t>
      </w:r>
      <w:r w:rsidR="00E43C8D">
        <w:rPr>
          <w:rFonts w:ascii="Times New Roman" w:hAnsi="Times New Roman" w:cs="Times New Roman"/>
          <w:sz w:val="24"/>
          <w:szCs w:val="24"/>
          <w:lang w:val="lv-LV"/>
        </w:rPr>
        <w:t>ē</w:t>
      </w:r>
      <w:r w:rsidRPr="00321CBD">
        <w:rPr>
          <w:rFonts w:ascii="Times New Roman" w:hAnsi="Times New Roman" w:cs="Times New Roman"/>
          <w:sz w:val="24"/>
          <w:szCs w:val="24"/>
          <w:lang w:val="lv-LV"/>
        </w:rPr>
        <w:t>jošām sievietēm visbiežākais asiņošanas tips bija menorāģija (45,1%) un neregulāri spotingi (20,9%)</w:t>
      </w:r>
      <w:r w:rsidR="00FE72C1" w:rsidRPr="00321CBD">
        <w:rPr>
          <w:rFonts w:ascii="Times New Roman" w:hAnsi="Times New Roman" w:cs="Times New Roman"/>
          <w:sz w:val="24"/>
          <w:szCs w:val="24"/>
          <w:lang w:val="lv-LV"/>
        </w:rPr>
        <w:t>.</w:t>
      </w:r>
    </w:p>
    <w:p w14:paraId="77CABC95" w14:textId="7637F765" w:rsidR="00FE72C1" w:rsidRPr="00441A09" w:rsidRDefault="00935AC1" w:rsidP="00F07DD9">
      <w:pPr>
        <w:spacing w:line="360" w:lineRule="auto"/>
        <w:jc w:val="both"/>
        <w:rPr>
          <w:rFonts w:ascii="Times New Roman" w:hAnsi="Times New Roman" w:cs="Times New Roman"/>
          <w:sz w:val="24"/>
          <w:szCs w:val="24"/>
          <w:lang w:val="lv-LV"/>
        </w:rPr>
      </w:pPr>
      <w:r w:rsidRPr="00441A09">
        <w:rPr>
          <w:rFonts w:ascii="Times New Roman" w:hAnsi="Times New Roman" w:cs="Times New Roman"/>
          <w:sz w:val="24"/>
          <w:szCs w:val="24"/>
          <w:lang w:val="lv-LV"/>
        </w:rPr>
        <w:t>50</w:t>
      </w:r>
      <w:r w:rsidR="00E43C8D" w:rsidRPr="00441A09">
        <w:rPr>
          <w:rFonts w:ascii="Times New Roman" w:hAnsi="Times New Roman" w:cs="Times New Roman"/>
          <w:sz w:val="24"/>
          <w:szCs w:val="24"/>
          <w:lang w:val="lv-LV"/>
        </w:rPr>
        <w:t xml:space="preserve"> </w:t>
      </w:r>
      <w:r w:rsidR="00FE72C1" w:rsidRPr="00441A09">
        <w:rPr>
          <w:rFonts w:ascii="Times New Roman" w:hAnsi="Times New Roman" w:cs="Times New Roman"/>
          <w:sz w:val="24"/>
          <w:szCs w:val="24"/>
          <w:lang w:val="lv-LV"/>
        </w:rPr>
        <w:t>gadījumos</w:t>
      </w:r>
      <w:r w:rsidR="00E43C8D" w:rsidRPr="00441A09">
        <w:rPr>
          <w:rFonts w:ascii="Times New Roman" w:hAnsi="Times New Roman" w:cs="Times New Roman"/>
          <w:sz w:val="24"/>
          <w:szCs w:val="24"/>
          <w:lang w:val="lv-LV"/>
        </w:rPr>
        <w:t xml:space="preserve"> (37,9%) </w:t>
      </w:r>
      <w:r w:rsidR="00664A46" w:rsidRPr="00441A09">
        <w:rPr>
          <w:rFonts w:ascii="Times New Roman" w:hAnsi="Times New Roman" w:cs="Times New Roman"/>
          <w:sz w:val="24"/>
          <w:szCs w:val="24"/>
          <w:lang w:val="lv-LV"/>
        </w:rPr>
        <w:t>tika diagnosticēta</w:t>
      </w:r>
      <w:r w:rsidR="00FE72C1" w:rsidRPr="00441A09">
        <w:rPr>
          <w:rFonts w:ascii="Times New Roman" w:hAnsi="Times New Roman" w:cs="Times New Roman"/>
          <w:sz w:val="24"/>
          <w:szCs w:val="24"/>
          <w:lang w:val="lv-LV"/>
        </w:rPr>
        <w:t xml:space="preserve"> arī </w:t>
      </w:r>
      <w:r w:rsidR="00664A46" w:rsidRPr="00441A09">
        <w:rPr>
          <w:rFonts w:ascii="Times New Roman" w:hAnsi="Times New Roman" w:cs="Times New Roman"/>
          <w:sz w:val="24"/>
          <w:szCs w:val="24"/>
          <w:lang w:val="lv-LV"/>
        </w:rPr>
        <w:t>blakus</w:t>
      </w:r>
      <w:r w:rsidR="00FE72C1" w:rsidRPr="00441A09">
        <w:rPr>
          <w:rFonts w:ascii="Times New Roman" w:hAnsi="Times New Roman" w:cs="Times New Roman"/>
          <w:sz w:val="24"/>
          <w:szCs w:val="24"/>
          <w:lang w:val="lv-LV"/>
        </w:rPr>
        <w:t xml:space="preserve">patoloģija. </w:t>
      </w:r>
      <w:r w:rsidRPr="00441A09">
        <w:rPr>
          <w:rFonts w:ascii="Times New Roman" w:hAnsi="Times New Roman" w:cs="Times New Roman"/>
          <w:sz w:val="24"/>
          <w:szCs w:val="24"/>
          <w:lang w:val="lv-LV"/>
        </w:rPr>
        <w:t>Visbiežākā patoloģija</w:t>
      </w:r>
      <w:r w:rsidR="00664A46" w:rsidRPr="00441A09">
        <w:rPr>
          <w:rFonts w:ascii="Times New Roman" w:hAnsi="Times New Roman" w:cs="Times New Roman"/>
          <w:sz w:val="24"/>
          <w:szCs w:val="24"/>
          <w:lang w:val="lv-LV"/>
        </w:rPr>
        <w:t xml:space="preserve"> </w:t>
      </w:r>
      <w:r w:rsidRPr="00441A09">
        <w:rPr>
          <w:rFonts w:ascii="Times New Roman" w:hAnsi="Times New Roman" w:cs="Times New Roman"/>
          <w:sz w:val="24"/>
          <w:szCs w:val="24"/>
          <w:lang w:val="lv-LV"/>
        </w:rPr>
        <w:t>bija hiperplāzija – 24</w:t>
      </w:r>
      <w:r w:rsidR="002546F3">
        <w:rPr>
          <w:rFonts w:ascii="Times New Roman" w:hAnsi="Times New Roman" w:cs="Times New Roman"/>
          <w:sz w:val="24"/>
          <w:szCs w:val="24"/>
          <w:lang w:val="lv-LV"/>
        </w:rPr>
        <w:t xml:space="preserve"> (45,3%)</w:t>
      </w:r>
      <w:r w:rsidRPr="00441A09">
        <w:rPr>
          <w:rFonts w:ascii="Times New Roman" w:hAnsi="Times New Roman" w:cs="Times New Roman"/>
          <w:sz w:val="24"/>
          <w:szCs w:val="24"/>
          <w:lang w:val="lv-LV"/>
        </w:rPr>
        <w:t xml:space="preserve"> gadījumos</w:t>
      </w:r>
      <w:r w:rsidR="00664A46" w:rsidRPr="00441A09">
        <w:rPr>
          <w:rFonts w:ascii="Times New Roman" w:hAnsi="Times New Roman" w:cs="Times New Roman"/>
          <w:sz w:val="24"/>
          <w:szCs w:val="24"/>
          <w:lang w:val="lv-LV"/>
        </w:rPr>
        <w:t>,</w:t>
      </w:r>
      <w:r w:rsidR="00405E9F" w:rsidRPr="00441A09">
        <w:rPr>
          <w:rFonts w:ascii="Times New Roman" w:hAnsi="Times New Roman" w:cs="Times New Roman"/>
          <w:sz w:val="24"/>
          <w:szCs w:val="24"/>
          <w:lang w:val="lv-LV"/>
        </w:rPr>
        <w:t xml:space="preserve"> </w:t>
      </w:r>
      <w:r w:rsidRPr="00441A09">
        <w:rPr>
          <w:rFonts w:ascii="Times New Roman" w:hAnsi="Times New Roman" w:cs="Times New Roman"/>
          <w:sz w:val="24"/>
          <w:szCs w:val="24"/>
          <w:lang w:val="lv-LV"/>
        </w:rPr>
        <w:t xml:space="preserve">10 </w:t>
      </w:r>
      <w:r w:rsidR="002546F3">
        <w:rPr>
          <w:rFonts w:ascii="Times New Roman" w:hAnsi="Times New Roman" w:cs="Times New Roman"/>
          <w:sz w:val="24"/>
          <w:szCs w:val="24"/>
          <w:lang w:val="lv-LV"/>
        </w:rPr>
        <w:t xml:space="preserve">(18,9%) </w:t>
      </w:r>
      <w:r w:rsidRPr="00441A09">
        <w:rPr>
          <w:rFonts w:ascii="Times New Roman" w:hAnsi="Times New Roman" w:cs="Times New Roman"/>
          <w:sz w:val="24"/>
          <w:szCs w:val="24"/>
          <w:lang w:val="lv-LV"/>
        </w:rPr>
        <w:t>gadījum</w:t>
      </w:r>
      <w:r w:rsidR="00405E9F" w:rsidRPr="00441A09">
        <w:rPr>
          <w:rFonts w:ascii="Times New Roman" w:hAnsi="Times New Roman" w:cs="Times New Roman"/>
          <w:sz w:val="24"/>
          <w:szCs w:val="24"/>
          <w:lang w:val="lv-LV"/>
        </w:rPr>
        <w:t>os</w:t>
      </w:r>
      <w:r w:rsidRPr="00441A09">
        <w:rPr>
          <w:rFonts w:ascii="Times New Roman" w:hAnsi="Times New Roman" w:cs="Times New Roman"/>
          <w:sz w:val="24"/>
          <w:szCs w:val="24"/>
          <w:lang w:val="lv-LV"/>
        </w:rPr>
        <w:t xml:space="preserve"> </w:t>
      </w:r>
      <w:r w:rsidR="0095764F" w:rsidRPr="00441A09">
        <w:rPr>
          <w:rFonts w:ascii="Times New Roman" w:hAnsi="Times New Roman" w:cs="Times New Roman"/>
          <w:sz w:val="24"/>
          <w:szCs w:val="24"/>
          <w:lang w:val="lv-LV"/>
        </w:rPr>
        <w:t xml:space="preserve">submukozā </w:t>
      </w:r>
      <w:r w:rsidR="002546F3">
        <w:rPr>
          <w:rFonts w:ascii="Times New Roman" w:hAnsi="Times New Roman" w:cs="Times New Roman"/>
          <w:sz w:val="24"/>
          <w:szCs w:val="24"/>
          <w:lang w:val="lv-LV"/>
        </w:rPr>
        <w:t>mioma,</w:t>
      </w:r>
      <w:r w:rsidRPr="00441A09">
        <w:rPr>
          <w:rFonts w:ascii="Times New Roman" w:hAnsi="Times New Roman" w:cs="Times New Roman"/>
          <w:sz w:val="24"/>
          <w:szCs w:val="24"/>
          <w:lang w:val="lv-LV"/>
        </w:rPr>
        <w:t xml:space="preserve"> </w:t>
      </w:r>
      <w:r w:rsidR="002546F3">
        <w:rPr>
          <w:rFonts w:ascii="Times New Roman" w:hAnsi="Times New Roman" w:cs="Times New Roman"/>
          <w:sz w:val="24"/>
          <w:szCs w:val="24"/>
          <w:lang w:val="lv-LV"/>
        </w:rPr>
        <w:t xml:space="preserve">10 (18,9%) gadījumos </w:t>
      </w:r>
      <w:r w:rsidRPr="00441A09">
        <w:rPr>
          <w:rFonts w:ascii="Times New Roman" w:hAnsi="Times New Roman" w:cs="Times New Roman"/>
          <w:sz w:val="24"/>
          <w:szCs w:val="24"/>
          <w:lang w:val="lv-LV"/>
        </w:rPr>
        <w:t>sinēhijas</w:t>
      </w:r>
      <w:r w:rsidR="002546F3">
        <w:rPr>
          <w:rFonts w:ascii="Times New Roman" w:hAnsi="Times New Roman" w:cs="Times New Roman"/>
          <w:sz w:val="24"/>
          <w:szCs w:val="24"/>
          <w:lang w:val="lv-LV"/>
        </w:rPr>
        <w:t>,</w:t>
      </w:r>
      <w:r w:rsidRPr="00441A09">
        <w:rPr>
          <w:rFonts w:ascii="Times New Roman" w:hAnsi="Times New Roman" w:cs="Times New Roman"/>
          <w:sz w:val="24"/>
          <w:szCs w:val="24"/>
          <w:lang w:val="lv-LV"/>
        </w:rPr>
        <w:t xml:space="preserve"> 7 </w:t>
      </w:r>
      <w:r w:rsidR="002546F3">
        <w:rPr>
          <w:rFonts w:ascii="Times New Roman" w:hAnsi="Times New Roman" w:cs="Times New Roman"/>
          <w:sz w:val="24"/>
          <w:szCs w:val="24"/>
          <w:lang w:val="lv-LV"/>
        </w:rPr>
        <w:t xml:space="preserve">(13,2%) </w:t>
      </w:r>
      <w:r w:rsidRPr="00441A09">
        <w:rPr>
          <w:rFonts w:ascii="Times New Roman" w:hAnsi="Times New Roman" w:cs="Times New Roman"/>
          <w:sz w:val="24"/>
          <w:szCs w:val="24"/>
          <w:lang w:val="lv-LV"/>
        </w:rPr>
        <w:t>gadījumos cervikāls polips un 2</w:t>
      </w:r>
      <w:r w:rsidR="002546F3">
        <w:rPr>
          <w:rFonts w:ascii="Times New Roman" w:hAnsi="Times New Roman" w:cs="Times New Roman"/>
          <w:sz w:val="24"/>
          <w:szCs w:val="24"/>
          <w:lang w:val="lv-LV"/>
        </w:rPr>
        <w:t xml:space="preserve"> (3,8%)</w:t>
      </w:r>
      <w:r w:rsidRPr="00441A09">
        <w:rPr>
          <w:rFonts w:ascii="Times New Roman" w:hAnsi="Times New Roman" w:cs="Times New Roman"/>
          <w:sz w:val="24"/>
          <w:szCs w:val="24"/>
          <w:lang w:val="lv-LV"/>
        </w:rPr>
        <w:t xml:space="preserve"> gadījumos </w:t>
      </w:r>
      <w:r w:rsidR="002546F3">
        <w:rPr>
          <w:rFonts w:ascii="Times New Roman" w:hAnsi="Times New Roman" w:cs="Times New Roman"/>
          <w:sz w:val="24"/>
          <w:szCs w:val="24"/>
          <w:lang w:val="lv-LV"/>
        </w:rPr>
        <w:t>adenomioze</w:t>
      </w:r>
      <w:r w:rsidRPr="00441A09">
        <w:rPr>
          <w:rFonts w:ascii="Times New Roman" w:hAnsi="Times New Roman" w:cs="Times New Roman"/>
          <w:sz w:val="24"/>
          <w:szCs w:val="24"/>
          <w:lang w:val="lv-LV"/>
        </w:rPr>
        <w:t>.</w:t>
      </w:r>
    </w:p>
    <w:p w14:paraId="37B1A2CE" w14:textId="77777777" w:rsidR="00935AC1" w:rsidRPr="00321CBD" w:rsidRDefault="00935AC1" w:rsidP="00ED529A">
      <w:pPr>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 – Adenomioze</w:t>
      </w:r>
    </w:p>
    <w:p w14:paraId="34BF8A49" w14:textId="2CA3D98A" w:rsidR="00AF3BFF" w:rsidRPr="00321CBD" w:rsidRDefault="00935AC1" w:rsidP="00ED529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Adenomioze </w:t>
      </w:r>
      <w:r w:rsidR="006B7C07">
        <w:rPr>
          <w:rFonts w:ascii="Times New Roman" w:hAnsi="Times New Roman" w:cs="Times New Roman"/>
          <w:sz w:val="24"/>
          <w:szCs w:val="24"/>
          <w:lang w:val="lv-LV"/>
        </w:rPr>
        <w:t xml:space="preserve">ar </w:t>
      </w:r>
      <w:r w:rsidRPr="00321CBD">
        <w:rPr>
          <w:rFonts w:ascii="Times New Roman" w:hAnsi="Times New Roman" w:cs="Times New Roman"/>
          <w:sz w:val="24"/>
          <w:szCs w:val="24"/>
          <w:lang w:val="lv-LV"/>
        </w:rPr>
        <w:t>ultrasonogrāfi</w:t>
      </w:r>
      <w:r w:rsidR="006B7C07">
        <w:rPr>
          <w:rFonts w:ascii="Times New Roman" w:hAnsi="Times New Roman" w:cs="Times New Roman"/>
          <w:sz w:val="24"/>
          <w:szCs w:val="24"/>
          <w:lang w:val="lv-LV"/>
        </w:rPr>
        <w:t>jas palīdzību</w:t>
      </w:r>
      <w:r w:rsidRPr="00321CBD">
        <w:rPr>
          <w:rFonts w:ascii="Times New Roman" w:hAnsi="Times New Roman" w:cs="Times New Roman"/>
          <w:sz w:val="24"/>
          <w:szCs w:val="24"/>
          <w:lang w:val="lv-LV"/>
        </w:rPr>
        <w:t xml:space="preserve"> tika konstatēta </w:t>
      </w:r>
      <w:r w:rsidR="00C93DE8" w:rsidRPr="00321CBD">
        <w:rPr>
          <w:rFonts w:ascii="Times New Roman" w:hAnsi="Times New Roman" w:cs="Times New Roman"/>
          <w:sz w:val="24"/>
          <w:szCs w:val="24"/>
          <w:lang w:val="lv-LV"/>
        </w:rPr>
        <w:t xml:space="preserve">9 pacientēm (5,2%), intraoperatīvi aizdomas par adenomiozi tika izteiktas tikai 4 pacientēm (2,3%), bet histoloģiski adenomioze </w:t>
      </w:r>
      <w:r w:rsidR="00D61F97">
        <w:rPr>
          <w:rFonts w:ascii="Times New Roman" w:hAnsi="Times New Roman" w:cs="Times New Roman"/>
          <w:sz w:val="24"/>
          <w:szCs w:val="24"/>
          <w:lang w:val="lv-LV"/>
        </w:rPr>
        <w:t>novērota</w:t>
      </w:r>
      <w:r w:rsidR="00D61F97" w:rsidRPr="00321CBD">
        <w:rPr>
          <w:rFonts w:ascii="Times New Roman" w:hAnsi="Times New Roman" w:cs="Times New Roman"/>
          <w:sz w:val="24"/>
          <w:szCs w:val="24"/>
          <w:lang w:val="lv-LV"/>
        </w:rPr>
        <w:t xml:space="preserve"> </w:t>
      </w:r>
      <w:r w:rsidR="00C93DE8" w:rsidRPr="00321CBD">
        <w:rPr>
          <w:rFonts w:ascii="Times New Roman" w:hAnsi="Times New Roman" w:cs="Times New Roman"/>
          <w:sz w:val="24"/>
          <w:szCs w:val="24"/>
          <w:lang w:val="lv-LV"/>
        </w:rPr>
        <w:t xml:space="preserve">tikai 2 pacientēm (1,2%). </w:t>
      </w:r>
      <w:r w:rsidR="00457982" w:rsidRPr="00321CBD">
        <w:rPr>
          <w:rFonts w:ascii="Times New Roman" w:hAnsi="Times New Roman" w:cs="Times New Roman"/>
          <w:sz w:val="24"/>
          <w:szCs w:val="24"/>
          <w:lang w:val="lv-LV"/>
        </w:rPr>
        <w:t xml:space="preserve"> 80% sieviešu</w:t>
      </w:r>
      <w:r w:rsidR="00D61F97">
        <w:rPr>
          <w:rFonts w:ascii="Times New Roman" w:hAnsi="Times New Roman" w:cs="Times New Roman"/>
          <w:sz w:val="24"/>
          <w:szCs w:val="24"/>
          <w:lang w:val="lv-LV"/>
        </w:rPr>
        <w:t>,</w:t>
      </w:r>
      <w:r w:rsidR="00457982" w:rsidRPr="00321CBD">
        <w:rPr>
          <w:rFonts w:ascii="Times New Roman" w:hAnsi="Times New Roman" w:cs="Times New Roman"/>
          <w:sz w:val="24"/>
          <w:szCs w:val="24"/>
          <w:lang w:val="lv-LV"/>
        </w:rPr>
        <w:t xml:space="preserve"> kurām bija aizdomas par adenomiozi ultrasonogrāfiski vai intraoperatīvi</w:t>
      </w:r>
      <w:r w:rsidR="00D61F97">
        <w:rPr>
          <w:rFonts w:ascii="Times New Roman" w:hAnsi="Times New Roman" w:cs="Times New Roman"/>
          <w:sz w:val="24"/>
          <w:szCs w:val="24"/>
          <w:lang w:val="lv-LV"/>
        </w:rPr>
        <w:t>,</w:t>
      </w:r>
      <w:r w:rsidR="00BF1D11">
        <w:rPr>
          <w:rFonts w:ascii="Times New Roman" w:hAnsi="Times New Roman" w:cs="Times New Roman"/>
          <w:sz w:val="24"/>
          <w:szCs w:val="24"/>
          <w:lang w:val="lv-LV"/>
        </w:rPr>
        <w:t xml:space="preserve"> bija reproduktīvā</w:t>
      </w:r>
      <w:r w:rsidR="00457982" w:rsidRPr="00321CBD">
        <w:rPr>
          <w:rFonts w:ascii="Times New Roman" w:hAnsi="Times New Roman" w:cs="Times New Roman"/>
          <w:sz w:val="24"/>
          <w:szCs w:val="24"/>
          <w:lang w:val="lv-LV"/>
        </w:rPr>
        <w:t xml:space="preserve"> vecumā. Abos gadījumos, kur adenomioze tika verificēta histoloģiski</w:t>
      </w:r>
      <w:r w:rsidR="00D61F97">
        <w:rPr>
          <w:rFonts w:ascii="Times New Roman" w:hAnsi="Times New Roman" w:cs="Times New Roman"/>
          <w:sz w:val="24"/>
          <w:szCs w:val="24"/>
          <w:lang w:val="lv-LV"/>
        </w:rPr>
        <w:t>,</w:t>
      </w:r>
      <w:r w:rsidR="00457982" w:rsidRPr="00321CBD">
        <w:rPr>
          <w:rFonts w:ascii="Times New Roman" w:hAnsi="Times New Roman" w:cs="Times New Roman"/>
          <w:sz w:val="24"/>
          <w:szCs w:val="24"/>
          <w:lang w:val="lv-LV"/>
        </w:rPr>
        <w:t xml:space="preserve"> </w:t>
      </w:r>
      <w:r w:rsidR="00AF3BFF" w:rsidRPr="00321CBD">
        <w:rPr>
          <w:rFonts w:ascii="Times New Roman" w:hAnsi="Times New Roman" w:cs="Times New Roman"/>
          <w:sz w:val="24"/>
          <w:szCs w:val="24"/>
          <w:lang w:val="lv-LV"/>
        </w:rPr>
        <w:t xml:space="preserve">pacientes nebija menopauzē. Nevienā no šiem gadījumiem ne histeroskopiski, ne ultrasonogrāfiski aizdomas par adenomiozi netika izteiktas. </w:t>
      </w:r>
    </w:p>
    <w:p w14:paraId="3328D701" w14:textId="7E6475D7" w:rsidR="00A8792C" w:rsidRPr="00321CBD" w:rsidRDefault="00B418FB" w:rsidP="00ED529A">
      <w:p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Diemžēl histeroskopiski</w:t>
      </w:r>
      <w:r w:rsidR="00AF3BFF" w:rsidRPr="00321CBD">
        <w:rPr>
          <w:rFonts w:ascii="Times New Roman" w:hAnsi="Times New Roman" w:cs="Times New Roman"/>
          <w:sz w:val="24"/>
          <w:szCs w:val="24"/>
          <w:lang w:val="lv-LV"/>
        </w:rPr>
        <w:t xml:space="preserve"> </w:t>
      </w:r>
      <w:r w:rsidR="00BF1D11">
        <w:rPr>
          <w:rFonts w:ascii="Times New Roman" w:hAnsi="Times New Roman" w:cs="Times New Roman"/>
          <w:sz w:val="24"/>
          <w:szCs w:val="24"/>
          <w:lang w:val="lv-LV"/>
        </w:rPr>
        <w:t>adenomioze</w:t>
      </w:r>
      <w:r w:rsidR="00AF3BFF" w:rsidRPr="00321CBD">
        <w:rPr>
          <w:rFonts w:ascii="Times New Roman" w:hAnsi="Times New Roman" w:cs="Times New Roman"/>
          <w:sz w:val="24"/>
          <w:szCs w:val="24"/>
          <w:lang w:val="lv-LV"/>
        </w:rPr>
        <w:t xml:space="preserve"> ir diezgan grūti pieradāma. </w:t>
      </w:r>
      <w:r w:rsidR="00A8792C" w:rsidRPr="00321CBD">
        <w:rPr>
          <w:rFonts w:ascii="Times New Roman" w:hAnsi="Times New Roman" w:cs="Times New Roman"/>
          <w:sz w:val="24"/>
          <w:szCs w:val="24"/>
          <w:lang w:val="lv-LV"/>
        </w:rPr>
        <w:t xml:space="preserve"> </w:t>
      </w:r>
      <w:r w:rsidR="00D61F97">
        <w:rPr>
          <w:rFonts w:ascii="Times New Roman" w:hAnsi="Times New Roman" w:cs="Times New Roman"/>
          <w:sz w:val="24"/>
          <w:szCs w:val="24"/>
          <w:lang w:val="lv-LV"/>
        </w:rPr>
        <w:t>Tam ir nepieciešams</w:t>
      </w:r>
      <w:r w:rsidR="00A8792C" w:rsidRPr="00321CBD">
        <w:rPr>
          <w:rFonts w:ascii="Times New Roman" w:hAnsi="Times New Roman" w:cs="Times New Roman"/>
          <w:sz w:val="24"/>
          <w:szCs w:val="24"/>
          <w:lang w:val="lv-LV"/>
        </w:rPr>
        <w:t xml:space="preserve"> speciāl</w:t>
      </w:r>
      <w:r w:rsidR="00D61F97">
        <w:rPr>
          <w:rFonts w:ascii="Times New Roman" w:hAnsi="Times New Roman" w:cs="Times New Roman"/>
          <w:sz w:val="24"/>
          <w:szCs w:val="24"/>
          <w:lang w:val="lv-LV"/>
        </w:rPr>
        <w:t>s</w:t>
      </w:r>
      <w:r w:rsidR="00A8792C" w:rsidRPr="00321CBD">
        <w:rPr>
          <w:rFonts w:ascii="Times New Roman" w:hAnsi="Times New Roman" w:cs="Times New Roman"/>
          <w:sz w:val="24"/>
          <w:szCs w:val="24"/>
          <w:lang w:val="lv-LV"/>
        </w:rPr>
        <w:t xml:space="preserve"> instrument</w:t>
      </w:r>
      <w:r w:rsidR="00D61F97">
        <w:rPr>
          <w:rFonts w:ascii="Times New Roman" w:hAnsi="Times New Roman" w:cs="Times New Roman"/>
          <w:sz w:val="24"/>
          <w:szCs w:val="24"/>
          <w:lang w:val="lv-LV"/>
        </w:rPr>
        <w:t>s</w:t>
      </w:r>
      <w:r w:rsidR="002A035A">
        <w:rPr>
          <w:rFonts w:ascii="Times New Roman" w:hAnsi="Times New Roman" w:cs="Times New Roman"/>
          <w:sz w:val="24"/>
          <w:szCs w:val="24"/>
          <w:lang w:val="lv-LV"/>
        </w:rPr>
        <w:t xml:space="preserve"> (spirotoms)</w:t>
      </w:r>
      <w:r w:rsidR="00A8792C" w:rsidRPr="00321CBD">
        <w:rPr>
          <w:rFonts w:ascii="Times New Roman" w:hAnsi="Times New Roman" w:cs="Times New Roman"/>
          <w:sz w:val="24"/>
          <w:szCs w:val="24"/>
          <w:lang w:val="lv-LV"/>
        </w:rPr>
        <w:t xml:space="preserve">, </w:t>
      </w:r>
      <w:r w:rsidR="002A035A">
        <w:rPr>
          <w:rFonts w:ascii="Times New Roman" w:hAnsi="Times New Roman" w:cs="Times New Roman"/>
          <w:sz w:val="24"/>
          <w:szCs w:val="24"/>
          <w:lang w:val="lv-LV"/>
        </w:rPr>
        <w:t>kas nosaka endometrija audu invāzijas dziļumu miometrijā un</w:t>
      </w:r>
      <w:r w:rsidR="00A8792C" w:rsidRPr="00321CBD">
        <w:rPr>
          <w:rFonts w:ascii="Times New Roman" w:hAnsi="Times New Roman" w:cs="Times New Roman"/>
          <w:sz w:val="24"/>
          <w:szCs w:val="24"/>
          <w:lang w:val="lv-LV"/>
        </w:rPr>
        <w:t xml:space="preserve"> kas  dotā pēt</w:t>
      </w:r>
      <w:r w:rsidR="00D61F97">
        <w:rPr>
          <w:rFonts w:ascii="Times New Roman" w:hAnsi="Times New Roman" w:cs="Times New Roman"/>
          <w:sz w:val="24"/>
          <w:szCs w:val="24"/>
          <w:lang w:val="lv-LV"/>
        </w:rPr>
        <w:t>ī</w:t>
      </w:r>
      <w:r w:rsidR="00A8792C" w:rsidRPr="00321CBD">
        <w:rPr>
          <w:rFonts w:ascii="Times New Roman" w:hAnsi="Times New Roman" w:cs="Times New Roman"/>
          <w:sz w:val="24"/>
          <w:szCs w:val="24"/>
          <w:lang w:val="lv-LV"/>
        </w:rPr>
        <w:t xml:space="preserve">juma ietvaros nebija izmantots. Tādēļ arī korekti izrēķināt un salīdzināt metožu diagnostisko vērtību šajā gadījumā nav iespējams. </w:t>
      </w:r>
    </w:p>
    <w:p w14:paraId="40CD1BF4" w14:textId="4C7F6C36" w:rsidR="00A8792C" w:rsidRPr="00321CBD" w:rsidRDefault="00A8792C" w:rsidP="00ED529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Adenomiozes loma gan patoloģiskas asiņošanas patoģenēzē, gan to saistība ar reproduktīvo vecumu ir pamats dz</w:t>
      </w:r>
      <w:r w:rsidR="00D61F97">
        <w:rPr>
          <w:rFonts w:ascii="Times New Roman" w:hAnsi="Times New Roman" w:cs="Times New Roman"/>
          <w:sz w:val="24"/>
          <w:szCs w:val="24"/>
          <w:lang w:val="lv-LV"/>
        </w:rPr>
        <w:t>i</w:t>
      </w:r>
      <w:r w:rsidRPr="00321CBD">
        <w:rPr>
          <w:rFonts w:ascii="Times New Roman" w:hAnsi="Times New Roman" w:cs="Times New Roman"/>
          <w:sz w:val="24"/>
          <w:szCs w:val="24"/>
          <w:lang w:val="lv-LV"/>
        </w:rPr>
        <w:t>ļākai izpētei.</w:t>
      </w:r>
    </w:p>
    <w:p w14:paraId="17B62A46" w14:textId="77777777" w:rsidR="00A8792C" w:rsidRPr="00321CBD" w:rsidRDefault="00A8792C" w:rsidP="00ED529A">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 – Lejomioma</w:t>
      </w:r>
    </w:p>
    <w:p w14:paraId="42806F9C" w14:textId="67AC68FE" w:rsidR="00ED529A" w:rsidRPr="00321CBD" w:rsidRDefault="00A179F9" w:rsidP="00ED529A">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No 172 pacient</w:t>
      </w:r>
      <w:r w:rsidR="008C4FE4" w:rsidRPr="00321CBD">
        <w:rPr>
          <w:rFonts w:ascii="Times New Roman" w:hAnsi="Times New Roman" w:cs="Times New Roman"/>
          <w:sz w:val="24"/>
          <w:szCs w:val="24"/>
          <w:lang w:val="lv-LV"/>
        </w:rPr>
        <w:t xml:space="preserve">ēm 58 (33,7%) ultrasonogrāfiski vai </w:t>
      </w:r>
      <w:r w:rsidRPr="00321CBD">
        <w:rPr>
          <w:rFonts w:ascii="Times New Roman" w:hAnsi="Times New Roman" w:cs="Times New Roman"/>
          <w:sz w:val="24"/>
          <w:szCs w:val="24"/>
          <w:lang w:val="lv-LV"/>
        </w:rPr>
        <w:t xml:space="preserve">intraoperatīvi tika konstatētas miomas. </w:t>
      </w:r>
      <w:r w:rsidR="000E6D57" w:rsidRPr="00321CBD">
        <w:rPr>
          <w:rFonts w:ascii="Times New Roman" w:hAnsi="Times New Roman" w:cs="Times New Roman"/>
          <w:sz w:val="24"/>
          <w:szCs w:val="24"/>
          <w:lang w:val="lv-LV"/>
        </w:rPr>
        <w:t xml:space="preserve">Subserozās miomas tika konstatētas 16 pacientēm (27,6%), </w:t>
      </w:r>
      <w:r w:rsidR="00D61F97">
        <w:rPr>
          <w:rFonts w:ascii="Times New Roman" w:hAnsi="Times New Roman" w:cs="Times New Roman"/>
          <w:sz w:val="24"/>
          <w:szCs w:val="24"/>
          <w:lang w:val="lv-LV"/>
        </w:rPr>
        <w:t>i</w:t>
      </w:r>
      <w:r w:rsidR="000E6D57" w:rsidRPr="00321CBD">
        <w:rPr>
          <w:rFonts w:ascii="Times New Roman" w:hAnsi="Times New Roman" w:cs="Times New Roman"/>
          <w:sz w:val="24"/>
          <w:szCs w:val="24"/>
          <w:lang w:val="lv-LV"/>
        </w:rPr>
        <w:t>ntramuskulārās 19</w:t>
      </w:r>
      <w:r w:rsidR="00D61F97">
        <w:rPr>
          <w:rFonts w:ascii="Times New Roman" w:hAnsi="Times New Roman" w:cs="Times New Roman"/>
          <w:sz w:val="24"/>
          <w:szCs w:val="24"/>
          <w:lang w:val="lv-LV"/>
        </w:rPr>
        <w:t xml:space="preserve"> pacientēm</w:t>
      </w:r>
      <w:r w:rsidR="000E6D57" w:rsidRPr="00321CBD">
        <w:rPr>
          <w:rFonts w:ascii="Times New Roman" w:hAnsi="Times New Roman" w:cs="Times New Roman"/>
          <w:sz w:val="24"/>
          <w:szCs w:val="24"/>
          <w:lang w:val="lv-LV"/>
        </w:rPr>
        <w:t xml:space="preserve"> (32,8%). </w:t>
      </w:r>
      <w:r w:rsidR="00D101CD" w:rsidRPr="00321CBD">
        <w:rPr>
          <w:rFonts w:ascii="Times New Roman" w:hAnsi="Times New Roman" w:cs="Times New Roman"/>
          <w:sz w:val="24"/>
          <w:szCs w:val="24"/>
          <w:lang w:val="lv-LV"/>
        </w:rPr>
        <w:t xml:space="preserve">Histoloģiski </w:t>
      </w:r>
      <w:r w:rsidR="004158CA" w:rsidRPr="00321CBD">
        <w:rPr>
          <w:rFonts w:ascii="Times New Roman" w:hAnsi="Times New Roman" w:cs="Times New Roman"/>
          <w:sz w:val="24"/>
          <w:szCs w:val="24"/>
          <w:lang w:val="lv-LV"/>
        </w:rPr>
        <w:t xml:space="preserve">submukozi </w:t>
      </w:r>
      <w:r w:rsidR="00D101CD" w:rsidRPr="00321CBD">
        <w:rPr>
          <w:rFonts w:ascii="Times New Roman" w:hAnsi="Times New Roman" w:cs="Times New Roman"/>
          <w:sz w:val="24"/>
          <w:szCs w:val="24"/>
          <w:lang w:val="lv-LV"/>
        </w:rPr>
        <w:t>miomas mezgli tika konstatēti 24</w:t>
      </w:r>
      <w:r w:rsidR="00D61F97">
        <w:rPr>
          <w:rFonts w:ascii="Times New Roman" w:hAnsi="Times New Roman" w:cs="Times New Roman"/>
          <w:sz w:val="24"/>
          <w:szCs w:val="24"/>
          <w:lang w:val="lv-LV"/>
        </w:rPr>
        <w:t xml:space="preserve"> (41,4%) </w:t>
      </w:r>
      <w:r w:rsidR="0095764F" w:rsidRPr="00321CBD">
        <w:rPr>
          <w:rFonts w:ascii="Times New Roman" w:hAnsi="Times New Roman" w:cs="Times New Roman"/>
          <w:sz w:val="24"/>
          <w:szCs w:val="24"/>
          <w:lang w:val="lv-LV"/>
        </w:rPr>
        <w:t xml:space="preserve"> no 58</w:t>
      </w:r>
      <w:r w:rsidR="00D61F97">
        <w:rPr>
          <w:rFonts w:ascii="Times New Roman" w:hAnsi="Times New Roman" w:cs="Times New Roman"/>
          <w:sz w:val="24"/>
          <w:szCs w:val="24"/>
          <w:lang w:val="lv-LV"/>
        </w:rPr>
        <w:t xml:space="preserve"> sievietēm.</w:t>
      </w:r>
      <w:r w:rsidR="0095764F" w:rsidRPr="00321CBD">
        <w:rPr>
          <w:rFonts w:ascii="Times New Roman" w:hAnsi="Times New Roman" w:cs="Times New Roman"/>
          <w:sz w:val="24"/>
          <w:szCs w:val="24"/>
          <w:lang w:val="lv-LV"/>
        </w:rPr>
        <w:t xml:space="preserve"> </w:t>
      </w:r>
      <w:r w:rsidR="00ED529A" w:rsidRPr="00321CBD">
        <w:rPr>
          <w:rFonts w:ascii="Times New Roman" w:hAnsi="Times New Roman" w:cs="Times New Roman"/>
          <w:sz w:val="24"/>
          <w:szCs w:val="24"/>
          <w:lang w:val="lv-LV"/>
        </w:rPr>
        <w:t>7</w:t>
      </w:r>
      <w:r w:rsidR="00D61F97">
        <w:rPr>
          <w:rFonts w:ascii="Times New Roman" w:hAnsi="Times New Roman" w:cs="Times New Roman"/>
          <w:sz w:val="24"/>
          <w:szCs w:val="24"/>
          <w:lang w:val="lv-LV"/>
        </w:rPr>
        <w:t xml:space="preserve"> </w:t>
      </w:r>
      <w:r w:rsidR="00D61F97" w:rsidRPr="00321CBD">
        <w:rPr>
          <w:rFonts w:ascii="Times New Roman" w:hAnsi="Times New Roman" w:cs="Times New Roman"/>
          <w:sz w:val="24"/>
          <w:szCs w:val="24"/>
          <w:lang w:val="lv-LV"/>
        </w:rPr>
        <w:t>(29,2</w:t>
      </w:r>
      <w:r w:rsidR="00E76CEE">
        <w:rPr>
          <w:rFonts w:ascii="Times New Roman" w:hAnsi="Times New Roman" w:cs="Times New Roman"/>
          <w:sz w:val="24"/>
          <w:szCs w:val="24"/>
          <w:lang w:val="lv-LV"/>
        </w:rPr>
        <w:t>%</w:t>
      </w:r>
      <w:r w:rsidR="00D61F97" w:rsidRPr="00321CBD">
        <w:rPr>
          <w:rFonts w:ascii="Times New Roman" w:hAnsi="Times New Roman" w:cs="Times New Roman"/>
          <w:sz w:val="24"/>
          <w:szCs w:val="24"/>
          <w:lang w:val="lv-LV"/>
        </w:rPr>
        <w:t xml:space="preserve">) </w:t>
      </w:r>
      <w:r w:rsidR="00ED529A" w:rsidRPr="00321CBD">
        <w:rPr>
          <w:rFonts w:ascii="Times New Roman" w:hAnsi="Times New Roman" w:cs="Times New Roman"/>
          <w:sz w:val="24"/>
          <w:szCs w:val="24"/>
          <w:lang w:val="lv-LV"/>
        </w:rPr>
        <w:t>no 24</w:t>
      </w:r>
      <w:r w:rsidR="00D61F97">
        <w:rPr>
          <w:rFonts w:ascii="Times New Roman" w:hAnsi="Times New Roman" w:cs="Times New Roman"/>
          <w:sz w:val="24"/>
          <w:szCs w:val="24"/>
          <w:lang w:val="lv-LV"/>
        </w:rPr>
        <w:t xml:space="preserve"> sievietēm</w:t>
      </w:r>
      <w:r w:rsidR="00ED529A" w:rsidRPr="00321CBD">
        <w:rPr>
          <w:rFonts w:ascii="Times New Roman" w:hAnsi="Times New Roman" w:cs="Times New Roman"/>
          <w:sz w:val="24"/>
          <w:szCs w:val="24"/>
          <w:lang w:val="lv-LV"/>
        </w:rPr>
        <w:t xml:space="preserve"> uz operācijas brīdi bija iestājusies menopauze un 17 (70,8%) bija regulāras mēnešreizes. Sadalījums pa vecuma grupām ir redzams Tabulā 8.</w:t>
      </w:r>
      <w:r w:rsidR="004158CA" w:rsidRPr="00321CBD">
        <w:rPr>
          <w:rFonts w:ascii="Times New Roman" w:hAnsi="Times New Roman" w:cs="Times New Roman"/>
          <w:sz w:val="24"/>
          <w:szCs w:val="24"/>
          <w:lang w:val="lv-LV"/>
        </w:rPr>
        <w:t xml:space="preserve"> </w:t>
      </w:r>
    </w:p>
    <w:p w14:paraId="544685A4" w14:textId="77777777" w:rsidR="00ED529A" w:rsidRPr="00321CBD" w:rsidRDefault="00ED529A">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tbl>
      <w:tblPr>
        <w:tblStyle w:val="TableGrid"/>
        <w:tblW w:w="0" w:type="auto"/>
        <w:tblLook w:val="04A0" w:firstRow="1" w:lastRow="0" w:firstColumn="1" w:lastColumn="0" w:noHBand="0" w:noVBand="1"/>
      </w:tblPr>
      <w:tblGrid>
        <w:gridCol w:w="3085"/>
        <w:gridCol w:w="3361"/>
        <w:gridCol w:w="3018"/>
        <w:gridCol w:w="156"/>
      </w:tblGrid>
      <w:tr w:rsidR="00ED529A" w:rsidRPr="00090782" w14:paraId="06C871DF" w14:textId="77777777" w:rsidTr="0088363B">
        <w:tc>
          <w:tcPr>
            <w:tcW w:w="9620" w:type="dxa"/>
            <w:gridSpan w:val="4"/>
            <w:tcBorders>
              <w:top w:val="single" w:sz="24" w:space="0" w:color="009900"/>
              <w:left w:val="nil"/>
              <w:bottom w:val="single" w:sz="24" w:space="0" w:color="009900"/>
              <w:right w:val="nil"/>
            </w:tcBorders>
          </w:tcPr>
          <w:p w14:paraId="008EF137" w14:textId="77777777" w:rsidR="00ED529A" w:rsidRPr="00321CBD" w:rsidRDefault="00ED529A" w:rsidP="00ED529A">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Tabula 8. Sadalījums pa vecuma grupām sievietēm ar histoloģiski pierādītu miomas mezglu</w:t>
            </w:r>
          </w:p>
        </w:tc>
      </w:tr>
      <w:tr w:rsidR="00ED529A" w:rsidRPr="00321CBD" w14:paraId="1BB13761" w14:textId="77777777" w:rsidTr="00ED529A">
        <w:trPr>
          <w:gridAfter w:val="1"/>
          <w:wAfter w:w="156" w:type="dxa"/>
        </w:trPr>
        <w:tc>
          <w:tcPr>
            <w:tcW w:w="3085" w:type="dxa"/>
            <w:tcBorders>
              <w:top w:val="single" w:sz="18" w:space="0" w:color="009900"/>
              <w:left w:val="nil"/>
              <w:bottom w:val="nil"/>
              <w:right w:val="nil"/>
            </w:tcBorders>
          </w:tcPr>
          <w:p w14:paraId="52C535E7" w14:textId="77777777" w:rsidR="00ED529A" w:rsidRPr="00321CBD" w:rsidRDefault="00ED529A"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Līdz 45</w:t>
            </w:r>
          </w:p>
        </w:tc>
        <w:tc>
          <w:tcPr>
            <w:tcW w:w="3361" w:type="dxa"/>
            <w:tcBorders>
              <w:top w:val="single" w:sz="18" w:space="0" w:color="009900"/>
              <w:left w:val="nil"/>
              <w:bottom w:val="nil"/>
              <w:right w:val="nil"/>
            </w:tcBorders>
          </w:tcPr>
          <w:p w14:paraId="72B1C59B" w14:textId="77777777" w:rsidR="00ED529A" w:rsidRPr="00321CBD" w:rsidRDefault="00ED529A"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No 46 līdz 55</w:t>
            </w:r>
          </w:p>
        </w:tc>
        <w:tc>
          <w:tcPr>
            <w:tcW w:w="3018" w:type="dxa"/>
            <w:tcBorders>
              <w:top w:val="single" w:sz="18" w:space="0" w:color="009900"/>
              <w:left w:val="nil"/>
              <w:bottom w:val="nil"/>
              <w:right w:val="nil"/>
            </w:tcBorders>
          </w:tcPr>
          <w:p w14:paraId="28F6B602" w14:textId="77777777" w:rsidR="00ED529A" w:rsidRPr="00321CBD" w:rsidRDefault="00ED529A"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Virs 55</w:t>
            </w:r>
          </w:p>
        </w:tc>
      </w:tr>
      <w:tr w:rsidR="00ED529A" w:rsidRPr="00321CBD" w14:paraId="72B26F00" w14:textId="77777777" w:rsidTr="00ED529A">
        <w:trPr>
          <w:gridAfter w:val="1"/>
          <w:wAfter w:w="156" w:type="dxa"/>
        </w:trPr>
        <w:tc>
          <w:tcPr>
            <w:tcW w:w="3085" w:type="dxa"/>
            <w:tcBorders>
              <w:top w:val="nil"/>
              <w:left w:val="nil"/>
              <w:bottom w:val="nil"/>
              <w:right w:val="nil"/>
            </w:tcBorders>
          </w:tcPr>
          <w:p w14:paraId="78A6571B" w14:textId="77777777" w:rsidR="00ED529A" w:rsidRPr="00321CBD" w:rsidRDefault="00ED529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7(29,2%)</w:t>
            </w:r>
          </w:p>
        </w:tc>
        <w:tc>
          <w:tcPr>
            <w:tcW w:w="3361" w:type="dxa"/>
            <w:tcBorders>
              <w:top w:val="nil"/>
              <w:left w:val="nil"/>
              <w:bottom w:val="nil"/>
              <w:right w:val="nil"/>
            </w:tcBorders>
          </w:tcPr>
          <w:p w14:paraId="2068A2F8" w14:textId="77777777" w:rsidR="00ED529A" w:rsidRPr="00321CBD" w:rsidRDefault="00ED529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15(62,5%)</w:t>
            </w:r>
          </w:p>
        </w:tc>
        <w:tc>
          <w:tcPr>
            <w:tcW w:w="3018" w:type="dxa"/>
            <w:tcBorders>
              <w:top w:val="nil"/>
              <w:left w:val="nil"/>
              <w:bottom w:val="nil"/>
              <w:right w:val="nil"/>
            </w:tcBorders>
          </w:tcPr>
          <w:p w14:paraId="6940B6D1" w14:textId="77777777" w:rsidR="00ED529A" w:rsidRPr="00321CBD" w:rsidRDefault="00ED529A"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2(8,3%)</w:t>
            </w:r>
          </w:p>
        </w:tc>
      </w:tr>
      <w:tr w:rsidR="00ED529A" w:rsidRPr="00321CBD" w14:paraId="41006113" w14:textId="77777777" w:rsidTr="0088363B">
        <w:tc>
          <w:tcPr>
            <w:tcW w:w="9620" w:type="dxa"/>
            <w:gridSpan w:val="4"/>
            <w:tcBorders>
              <w:top w:val="single" w:sz="18" w:space="0" w:color="009900"/>
              <w:left w:val="nil"/>
              <w:bottom w:val="nil"/>
              <w:right w:val="nil"/>
            </w:tcBorders>
          </w:tcPr>
          <w:p w14:paraId="4259559A" w14:textId="77777777" w:rsidR="00ED529A" w:rsidRPr="00321CBD" w:rsidRDefault="00ED529A"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p w14:paraId="7835BF7F" w14:textId="77777777" w:rsidR="00ED529A" w:rsidRPr="00321CBD" w:rsidRDefault="00ED529A" w:rsidP="0088363B">
            <w:pPr>
              <w:spacing w:line="360" w:lineRule="auto"/>
              <w:jc w:val="both"/>
              <w:rPr>
                <w:rFonts w:ascii="Times New Roman" w:hAnsi="Times New Roman" w:cs="Times New Roman"/>
                <w:sz w:val="24"/>
                <w:szCs w:val="24"/>
                <w:lang w:val="lv-LV"/>
              </w:rPr>
            </w:pPr>
          </w:p>
        </w:tc>
      </w:tr>
    </w:tbl>
    <w:p w14:paraId="4698EC25" w14:textId="77777777" w:rsidR="00ED529A" w:rsidRPr="00321CBD" w:rsidRDefault="00ED529A" w:rsidP="00ED529A">
      <w:pPr>
        <w:jc w:val="both"/>
        <w:rPr>
          <w:rFonts w:ascii="Times New Roman" w:hAnsi="Times New Roman" w:cs="Times New Roman"/>
          <w:sz w:val="24"/>
          <w:szCs w:val="24"/>
          <w:lang w:val="lv-LV"/>
        </w:rPr>
      </w:pPr>
    </w:p>
    <w:p w14:paraId="73A823E6" w14:textId="60540AA4" w:rsidR="00E11C2D" w:rsidRPr="00321CBD" w:rsidRDefault="004158CA"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Dažāda veida sūdzības bija 66,7% gadījumos. </w:t>
      </w:r>
      <w:r w:rsidR="004C057B" w:rsidRPr="00321CBD">
        <w:rPr>
          <w:rFonts w:ascii="Times New Roman" w:hAnsi="Times New Roman" w:cs="Times New Roman"/>
          <w:sz w:val="24"/>
          <w:szCs w:val="24"/>
          <w:lang w:val="lv-LV"/>
        </w:rPr>
        <w:t>Līdzīgi kā arī gadījumā ar polipu</w:t>
      </w:r>
      <w:r w:rsidR="00D61F97">
        <w:rPr>
          <w:rFonts w:ascii="Times New Roman" w:hAnsi="Times New Roman" w:cs="Times New Roman"/>
          <w:sz w:val="24"/>
          <w:szCs w:val="24"/>
          <w:lang w:val="lv-LV"/>
        </w:rPr>
        <w:t>,</w:t>
      </w:r>
      <w:r w:rsidR="004C057B" w:rsidRPr="00321CBD">
        <w:rPr>
          <w:rFonts w:ascii="Times New Roman" w:hAnsi="Times New Roman" w:cs="Times New Roman"/>
          <w:sz w:val="24"/>
          <w:szCs w:val="24"/>
          <w:lang w:val="lv-LV"/>
        </w:rPr>
        <w:t xml:space="preserve"> menopauzes vecuma sievietēm ar miomas mezglu statistiski ticami </w:t>
      </w:r>
      <w:r w:rsidR="00D61F97" w:rsidRPr="00321CBD">
        <w:rPr>
          <w:rFonts w:ascii="Times New Roman" w:hAnsi="Times New Roman" w:cs="Times New Roman"/>
          <w:sz w:val="24"/>
          <w:szCs w:val="24"/>
          <w:lang w:val="lv-LV"/>
        </w:rPr>
        <w:t>retāk</w:t>
      </w:r>
      <w:r w:rsidR="004C057B" w:rsidRPr="00321CBD">
        <w:rPr>
          <w:rFonts w:ascii="Times New Roman" w:hAnsi="Times New Roman" w:cs="Times New Roman"/>
          <w:sz w:val="24"/>
          <w:szCs w:val="24"/>
          <w:lang w:val="lv-LV"/>
        </w:rPr>
        <w:t xml:space="preserve"> nov</w:t>
      </w:r>
      <w:r w:rsidR="000D04E2" w:rsidRPr="00321CBD">
        <w:rPr>
          <w:rFonts w:ascii="Times New Roman" w:hAnsi="Times New Roman" w:cs="Times New Roman"/>
          <w:sz w:val="24"/>
          <w:szCs w:val="24"/>
          <w:lang w:val="lv-LV"/>
        </w:rPr>
        <w:t>ē</w:t>
      </w:r>
      <w:r w:rsidR="004C057B" w:rsidRPr="00321CBD">
        <w:rPr>
          <w:rFonts w:ascii="Times New Roman" w:hAnsi="Times New Roman" w:cs="Times New Roman"/>
          <w:sz w:val="24"/>
          <w:szCs w:val="24"/>
          <w:lang w:val="lv-LV"/>
        </w:rPr>
        <w:t xml:space="preserve">roja sūdzības nekā sievietēm ar mēnešreizēm, </w:t>
      </w:r>
      <w:r w:rsidR="00D61F97" w:rsidRPr="00321CBD">
        <w:rPr>
          <w:rFonts w:ascii="Times New Roman" w:hAnsi="Times New Roman" w:cs="Times New Roman"/>
          <w:sz w:val="24"/>
          <w:szCs w:val="24"/>
          <w:lang w:val="lv-LV"/>
        </w:rPr>
        <w:t xml:space="preserve">attiecīgi </w:t>
      </w:r>
      <w:r w:rsidR="004C057B" w:rsidRPr="00321CBD">
        <w:rPr>
          <w:rFonts w:ascii="Times New Roman" w:hAnsi="Times New Roman" w:cs="Times New Roman"/>
          <w:sz w:val="24"/>
          <w:szCs w:val="24"/>
          <w:lang w:val="lv-LV"/>
        </w:rPr>
        <w:t>6,</w:t>
      </w:r>
      <w:r w:rsidR="002C68E6" w:rsidRPr="00321CBD">
        <w:rPr>
          <w:rFonts w:ascii="Times New Roman" w:hAnsi="Times New Roman" w:cs="Times New Roman"/>
          <w:sz w:val="24"/>
          <w:szCs w:val="24"/>
          <w:lang w:val="lv-LV"/>
        </w:rPr>
        <w:t>2</w:t>
      </w:r>
      <w:r w:rsidR="004C057B" w:rsidRPr="00321CBD">
        <w:rPr>
          <w:rFonts w:ascii="Times New Roman" w:hAnsi="Times New Roman" w:cs="Times New Roman"/>
          <w:sz w:val="24"/>
          <w:szCs w:val="24"/>
          <w:lang w:val="lv-LV"/>
        </w:rPr>
        <w:t>% un 93,8% (</w:t>
      </w:r>
      <w:r w:rsidR="004C057B" w:rsidRPr="00321CBD">
        <w:rPr>
          <w:rFonts w:ascii="Times New Roman" w:hAnsi="Times New Roman" w:cs="Times New Roman"/>
          <w:i/>
          <w:sz w:val="24"/>
          <w:szCs w:val="24"/>
          <w:lang w:val="lv-LV"/>
        </w:rPr>
        <w:t>p=0,001</w:t>
      </w:r>
      <w:r w:rsidR="004C057B" w:rsidRPr="00321CBD">
        <w:rPr>
          <w:rFonts w:ascii="Times New Roman" w:hAnsi="Times New Roman" w:cs="Times New Roman"/>
          <w:sz w:val="24"/>
          <w:szCs w:val="24"/>
          <w:lang w:val="lv-LV"/>
        </w:rPr>
        <w:t xml:space="preserve">).  </w:t>
      </w:r>
      <w:r w:rsidR="00897A2A" w:rsidRPr="00321CBD">
        <w:rPr>
          <w:rFonts w:ascii="Times New Roman" w:hAnsi="Times New Roman" w:cs="Times New Roman"/>
          <w:sz w:val="24"/>
          <w:szCs w:val="24"/>
          <w:lang w:val="lv-LV"/>
        </w:rPr>
        <w:t>Salīdzinot sievietes ar normālu un palielinātu svaru, abām grupām sūdzības tika atzīmētas vienādi bieži</w:t>
      </w:r>
      <w:r w:rsidR="00D61F97">
        <w:rPr>
          <w:rFonts w:ascii="Times New Roman" w:hAnsi="Times New Roman" w:cs="Times New Roman"/>
          <w:sz w:val="24"/>
          <w:szCs w:val="24"/>
          <w:lang w:val="lv-LV"/>
        </w:rPr>
        <w:t xml:space="preserve"> - </w:t>
      </w:r>
      <w:r w:rsidR="00897A2A" w:rsidRPr="00321CBD">
        <w:rPr>
          <w:rFonts w:ascii="Times New Roman" w:hAnsi="Times New Roman" w:cs="Times New Roman"/>
          <w:sz w:val="24"/>
          <w:szCs w:val="24"/>
          <w:lang w:val="lv-LV"/>
        </w:rPr>
        <w:t xml:space="preserve">50% gadījumos. </w:t>
      </w:r>
    </w:p>
    <w:p w14:paraId="1476344E" w14:textId="07F7DD89" w:rsidR="00653224" w:rsidRPr="00321CBD" w:rsidRDefault="004C057B"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93,8% no sūdzīb</w:t>
      </w:r>
      <w:r w:rsidR="00D61F97">
        <w:rPr>
          <w:rFonts w:ascii="Times New Roman" w:hAnsi="Times New Roman" w:cs="Times New Roman"/>
          <w:sz w:val="24"/>
          <w:szCs w:val="24"/>
          <w:lang w:val="lv-LV"/>
        </w:rPr>
        <w:t>ām</w:t>
      </w:r>
      <w:r w:rsidRPr="00321CBD">
        <w:rPr>
          <w:rFonts w:ascii="Times New Roman" w:hAnsi="Times New Roman" w:cs="Times New Roman"/>
          <w:sz w:val="24"/>
          <w:szCs w:val="24"/>
          <w:lang w:val="lv-LV"/>
        </w:rPr>
        <w:t xml:space="preserve"> bija saistīt</w:t>
      </w:r>
      <w:r w:rsidR="00D61F97">
        <w:rPr>
          <w:rFonts w:ascii="Times New Roman" w:hAnsi="Times New Roman" w:cs="Times New Roman"/>
          <w:sz w:val="24"/>
          <w:szCs w:val="24"/>
          <w:lang w:val="lv-LV"/>
        </w:rPr>
        <w:t>as</w:t>
      </w:r>
      <w:r w:rsidRPr="00321CBD">
        <w:rPr>
          <w:rFonts w:ascii="Times New Roman" w:hAnsi="Times New Roman" w:cs="Times New Roman"/>
          <w:sz w:val="24"/>
          <w:szCs w:val="24"/>
          <w:lang w:val="lv-LV"/>
        </w:rPr>
        <w:t xml:space="preserve"> ar asiņošanu. Pie kam, no visām sievietēm, kas sūdzējās par asiņošanu</w:t>
      </w:r>
      <w:r w:rsidR="00D61F97">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tikai 1 (6,7%) bija menopauzes vecumā.</w:t>
      </w:r>
      <w:r w:rsidR="00897A2A" w:rsidRPr="00321CBD">
        <w:rPr>
          <w:rFonts w:ascii="Times New Roman" w:hAnsi="Times New Roman" w:cs="Times New Roman"/>
          <w:sz w:val="24"/>
          <w:szCs w:val="24"/>
          <w:lang w:val="lv-LV"/>
        </w:rPr>
        <w:t xml:space="preserve"> </w:t>
      </w:r>
      <w:r w:rsidR="00653224" w:rsidRPr="00321CBD">
        <w:rPr>
          <w:rFonts w:ascii="Times New Roman" w:hAnsi="Times New Roman" w:cs="Times New Roman"/>
          <w:sz w:val="24"/>
          <w:szCs w:val="24"/>
          <w:lang w:val="lv-LV"/>
        </w:rPr>
        <w:t xml:space="preserve">Sievietes ar miomu un normālu svaru vienādi bieži </w:t>
      </w:r>
      <w:r w:rsidR="00D61F97" w:rsidRPr="00321CBD">
        <w:rPr>
          <w:rFonts w:ascii="Times New Roman" w:hAnsi="Times New Roman" w:cs="Times New Roman"/>
          <w:sz w:val="24"/>
          <w:szCs w:val="24"/>
          <w:lang w:val="lv-LV"/>
        </w:rPr>
        <w:t>sūdzas</w:t>
      </w:r>
      <w:r w:rsidR="00653224" w:rsidRPr="00321CBD">
        <w:rPr>
          <w:rFonts w:ascii="Times New Roman" w:hAnsi="Times New Roman" w:cs="Times New Roman"/>
          <w:sz w:val="24"/>
          <w:szCs w:val="24"/>
          <w:lang w:val="lv-LV"/>
        </w:rPr>
        <w:t xml:space="preserve"> par asiņošanu, kā sievietes ar palielinātu svaru. (</w:t>
      </w:r>
      <w:r w:rsidR="00653224" w:rsidRPr="00321CBD">
        <w:rPr>
          <w:rFonts w:ascii="Times New Roman" w:hAnsi="Times New Roman" w:cs="Times New Roman"/>
          <w:i/>
          <w:sz w:val="24"/>
          <w:szCs w:val="24"/>
          <w:lang w:val="lv-LV"/>
        </w:rPr>
        <w:t>p</w:t>
      </w:r>
      <w:r w:rsidR="00653224" w:rsidRPr="00321CBD">
        <w:rPr>
          <w:rFonts w:ascii="Times New Roman" w:hAnsi="Times New Roman" w:cs="Times New Roman"/>
          <w:sz w:val="24"/>
          <w:szCs w:val="24"/>
          <w:lang w:val="lv-LV"/>
        </w:rPr>
        <w:t>&gt;</w:t>
      </w:r>
      <w:r w:rsidR="00653224" w:rsidRPr="00321CBD">
        <w:rPr>
          <w:rFonts w:ascii="Times New Roman" w:hAnsi="Times New Roman" w:cs="Times New Roman"/>
          <w:i/>
          <w:sz w:val="24"/>
          <w:szCs w:val="24"/>
          <w:lang w:val="lv-LV"/>
        </w:rPr>
        <w:t>0,05</w:t>
      </w:r>
      <w:r w:rsidR="00653224" w:rsidRPr="00321CBD">
        <w:rPr>
          <w:rFonts w:ascii="Times New Roman" w:hAnsi="Times New Roman" w:cs="Times New Roman"/>
          <w:sz w:val="24"/>
          <w:szCs w:val="24"/>
          <w:lang w:val="lv-LV"/>
        </w:rPr>
        <w:t>).</w:t>
      </w:r>
    </w:p>
    <w:p w14:paraId="15C150A8" w14:textId="72FC9A49" w:rsidR="00D2366C" w:rsidRPr="00321CBD" w:rsidRDefault="00E11C2D"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Sievietēm ne</w:t>
      </w:r>
      <w:r w:rsidR="00D61F97">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menopauzē visbiežākā sūdzība par asiņošanu bija menorāģija</w:t>
      </w:r>
      <w:r w:rsidR="00653224"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(71,4%). 21,4% sievietes atzīmēja neregulārus spotingus, bet premenstruālus izdalījumus, metrorāģiju un postmenstruālus izdalījumus sievietes atzīmēja vienādi bieži (7,1%). </w:t>
      </w:r>
    </w:p>
    <w:p w14:paraId="343FF8FA" w14:textId="4AFA9494" w:rsidR="00E11C2D" w:rsidRPr="00321CBD" w:rsidRDefault="00E11C2D" w:rsidP="000D04E2">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Submukozās miomas diagnostika</w:t>
      </w:r>
    </w:p>
    <w:p w14:paraId="153F4E4A" w14:textId="77176F26" w:rsidR="00E11C2D" w:rsidRPr="00321CBD" w:rsidRDefault="00E11C2D"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Ņemot vērā, k</w:t>
      </w:r>
      <w:r w:rsidR="00D61F97">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ar histerorezektoskopijas metodi nav iespējams izoperēt subserozus un intramurālus mezglus, diagnostiska vērtība ultrasonogrāfijas un histerorezektoskopijas metodei šīm mezglu tipiem netika rēķināta. </w:t>
      </w:r>
      <w:r w:rsidR="00D61F97">
        <w:rPr>
          <w:rFonts w:ascii="Times New Roman" w:hAnsi="Times New Roman" w:cs="Times New Roman"/>
          <w:sz w:val="24"/>
          <w:szCs w:val="24"/>
          <w:lang w:val="lv-LV"/>
        </w:rPr>
        <w:t>N</w:t>
      </w:r>
      <w:r w:rsidRPr="00321CBD">
        <w:rPr>
          <w:rFonts w:ascii="Times New Roman" w:hAnsi="Times New Roman" w:cs="Times New Roman"/>
          <w:sz w:val="24"/>
          <w:szCs w:val="24"/>
          <w:lang w:val="lv-LV"/>
        </w:rPr>
        <w:t xml:space="preserve">o 172 gadījumiem mioma histoloģiski tika apstiprināta 24 pacientēm. </w:t>
      </w:r>
      <w:r w:rsidR="00943E42" w:rsidRPr="00321CBD">
        <w:rPr>
          <w:rFonts w:ascii="Times New Roman" w:hAnsi="Times New Roman" w:cs="Times New Roman"/>
          <w:sz w:val="24"/>
          <w:szCs w:val="24"/>
          <w:lang w:val="lv-LV"/>
        </w:rPr>
        <w:t>Ar ultrasonogrāfijas metodi pareizi tika diagnosticēts 21 gadījums, 3 bija viltus negatīv</w:t>
      </w:r>
      <w:r w:rsidR="00FD755D">
        <w:rPr>
          <w:rFonts w:ascii="Times New Roman" w:hAnsi="Times New Roman" w:cs="Times New Roman"/>
          <w:sz w:val="24"/>
          <w:szCs w:val="24"/>
          <w:lang w:val="lv-LV"/>
        </w:rPr>
        <w:t xml:space="preserve">i, </w:t>
      </w:r>
      <w:r w:rsidR="00943E42" w:rsidRPr="00321CBD">
        <w:rPr>
          <w:rFonts w:ascii="Times New Roman" w:hAnsi="Times New Roman" w:cs="Times New Roman"/>
          <w:sz w:val="24"/>
          <w:szCs w:val="24"/>
          <w:lang w:val="lv-LV"/>
        </w:rPr>
        <w:t xml:space="preserve">4 gadījumi bija viltus pozitīvi un 144 patiesi negatīvi. </w:t>
      </w:r>
      <w:r w:rsidR="00CB65A4" w:rsidRPr="00321CBD">
        <w:rPr>
          <w:rFonts w:ascii="Times New Roman" w:hAnsi="Times New Roman" w:cs="Times New Roman"/>
          <w:sz w:val="24"/>
          <w:szCs w:val="24"/>
          <w:lang w:val="lv-LV"/>
        </w:rPr>
        <w:t xml:space="preserve">Sensitivitāte </w:t>
      </w:r>
      <w:r w:rsidR="00FD755D" w:rsidRPr="00321CBD">
        <w:rPr>
          <w:rFonts w:ascii="Times New Roman" w:hAnsi="Times New Roman" w:cs="Times New Roman"/>
          <w:sz w:val="24"/>
          <w:szCs w:val="24"/>
          <w:lang w:val="lv-LV"/>
        </w:rPr>
        <w:t>sastādīja</w:t>
      </w:r>
      <w:r w:rsidR="00CB65A4" w:rsidRPr="00321CBD">
        <w:rPr>
          <w:rFonts w:ascii="Times New Roman" w:hAnsi="Times New Roman" w:cs="Times New Roman"/>
          <w:sz w:val="24"/>
          <w:szCs w:val="24"/>
          <w:lang w:val="lv-LV"/>
        </w:rPr>
        <w:t xml:space="preserve"> 87,50%, </w:t>
      </w:r>
      <w:r w:rsidR="00FD755D">
        <w:rPr>
          <w:rFonts w:ascii="Times New Roman" w:hAnsi="Times New Roman" w:cs="Times New Roman"/>
          <w:sz w:val="24"/>
          <w:szCs w:val="24"/>
          <w:lang w:val="lv-LV"/>
        </w:rPr>
        <w:t>s</w:t>
      </w:r>
      <w:r w:rsidR="00CB65A4" w:rsidRPr="00321CBD">
        <w:rPr>
          <w:rFonts w:ascii="Times New Roman" w:hAnsi="Times New Roman" w:cs="Times New Roman"/>
          <w:sz w:val="24"/>
          <w:szCs w:val="24"/>
          <w:lang w:val="lv-LV"/>
        </w:rPr>
        <w:t xml:space="preserve">pecifitāte 97,30%, </w:t>
      </w:r>
      <w:r w:rsidR="00FD755D">
        <w:rPr>
          <w:rFonts w:ascii="Times New Roman" w:hAnsi="Times New Roman" w:cs="Times New Roman"/>
          <w:sz w:val="24"/>
          <w:szCs w:val="24"/>
          <w:lang w:val="lv-LV"/>
        </w:rPr>
        <w:t>p</w:t>
      </w:r>
      <w:r w:rsidR="00CB65A4" w:rsidRPr="00321CBD">
        <w:rPr>
          <w:rFonts w:ascii="Times New Roman" w:hAnsi="Times New Roman" w:cs="Times New Roman"/>
          <w:sz w:val="24"/>
          <w:szCs w:val="24"/>
          <w:lang w:val="lv-LV"/>
        </w:rPr>
        <w:t xml:space="preserve">ozitīva paredzama vērtība </w:t>
      </w:r>
      <w:r w:rsidR="00FD755D" w:rsidRPr="00321CBD">
        <w:rPr>
          <w:rFonts w:ascii="Times New Roman" w:hAnsi="Times New Roman" w:cs="Times New Roman"/>
          <w:sz w:val="24"/>
          <w:szCs w:val="24"/>
          <w:lang w:val="lv-LV"/>
        </w:rPr>
        <w:t>sastādīja</w:t>
      </w:r>
      <w:r w:rsidR="00CB65A4" w:rsidRPr="00321CBD">
        <w:rPr>
          <w:rFonts w:ascii="Times New Roman" w:hAnsi="Times New Roman" w:cs="Times New Roman"/>
          <w:sz w:val="24"/>
          <w:szCs w:val="24"/>
          <w:lang w:val="lv-LV"/>
        </w:rPr>
        <w:t xml:space="preserve"> 84% un negatīva paredzama vērtība 97,96%. </w:t>
      </w:r>
    </w:p>
    <w:p w14:paraId="38AB1A97" w14:textId="2309DCF3" w:rsidR="00CB65A4" w:rsidRPr="00321CBD" w:rsidRDefault="00CB65A4"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Ar histerorezektoskopijas metodi intraoperatīvi mioma tika diagnosticēta 23 no 24 gadījumiem. 1 gadījumā</w:t>
      </w:r>
      <w:r w:rsidR="00FD755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tā tika novērtēta</w:t>
      </w:r>
      <w:r w:rsidR="00FD755D">
        <w:rPr>
          <w:rFonts w:ascii="Times New Roman" w:hAnsi="Times New Roman" w:cs="Times New Roman"/>
          <w:sz w:val="24"/>
          <w:szCs w:val="24"/>
          <w:lang w:val="lv-LV"/>
        </w:rPr>
        <w:t xml:space="preserve"> kā</w:t>
      </w:r>
      <w:r w:rsidRPr="00321CBD">
        <w:rPr>
          <w:rFonts w:ascii="Times New Roman" w:hAnsi="Times New Roman" w:cs="Times New Roman"/>
          <w:sz w:val="24"/>
          <w:szCs w:val="24"/>
          <w:lang w:val="lv-LV"/>
        </w:rPr>
        <w:t xml:space="preserve"> polips, </w:t>
      </w:r>
      <w:r w:rsidR="00FD755D">
        <w:rPr>
          <w:rFonts w:ascii="Times New Roman" w:hAnsi="Times New Roman" w:cs="Times New Roman"/>
          <w:sz w:val="24"/>
          <w:szCs w:val="24"/>
          <w:lang w:val="lv-LV"/>
        </w:rPr>
        <w:t>kas</w:t>
      </w:r>
      <w:r w:rsidRPr="00321CBD">
        <w:rPr>
          <w:rFonts w:ascii="Times New Roman" w:hAnsi="Times New Roman" w:cs="Times New Roman"/>
          <w:sz w:val="24"/>
          <w:szCs w:val="24"/>
          <w:lang w:val="lv-LV"/>
        </w:rPr>
        <w:t xml:space="preserve"> ir viltus negatīvi. 1 gadījums bija novērtēts kā viltus pozitīvs un 147 patiesi negatīvi. </w:t>
      </w:r>
      <w:r w:rsidR="00210A05" w:rsidRPr="00321CBD">
        <w:rPr>
          <w:rFonts w:ascii="Times New Roman" w:hAnsi="Times New Roman" w:cs="Times New Roman"/>
          <w:sz w:val="24"/>
          <w:szCs w:val="24"/>
          <w:lang w:val="lv-LV"/>
        </w:rPr>
        <w:t xml:space="preserve">Sensitivitāte </w:t>
      </w:r>
      <w:r w:rsidR="00FD755D" w:rsidRPr="00321CBD">
        <w:rPr>
          <w:rFonts w:ascii="Times New Roman" w:hAnsi="Times New Roman" w:cs="Times New Roman"/>
          <w:sz w:val="24"/>
          <w:szCs w:val="24"/>
          <w:lang w:val="lv-LV"/>
        </w:rPr>
        <w:t>sastādīja</w:t>
      </w:r>
      <w:r w:rsidR="00210A05" w:rsidRPr="00321CBD">
        <w:rPr>
          <w:rFonts w:ascii="Times New Roman" w:hAnsi="Times New Roman" w:cs="Times New Roman"/>
          <w:sz w:val="24"/>
          <w:szCs w:val="24"/>
          <w:lang w:val="lv-LV"/>
        </w:rPr>
        <w:t xml:space="preserve"> 95,83%, </w:t>
      </w:r>
      <w:r w:rsidR="00FD755D">
        <w:rPr>
          <w:rFonts w:ascii="Times New Roman" w:hAnsi="Times New Roman" w:cs="Times New Roman"/>
          <w:sz w:val="24"/>
          <w:szCs w:val="24"/>
          <w:lang w:val="lv-LV"/>
        </w:rPr>
        <w:t>s</w:t>
      </w:r>
      <w:r w:rsidR="00210A05" w:rsidRPr="00321CBD">
        <w:rPr>
          <w:rFonts w:ascii="Times New Roman" w:hAnsi="Times New Roman" w:cs="Times New Roman"/>
          <w:sz w:val="24"/>
          <w:szCs w:val="24"/>
          <w:lang w:val="lv-LV"/>
        </w:rPr>
        <w:t xml:space="preserve">pecifitāte 99,32%, </w:t>
      </w:r>
      <w:r w:rsidR="00FD755D">
        <w:rPr>
          <w:rFonts w:ascii="Times New Roman" w:hAnsi="Times New Roman" w:cs="Times New Roman"/>
          <w:sz w:val="24"/>
          <w:szCs w:val="24"/>
          <w:lang w:val="lv-LV"/>
        </w:rPr>
        <w:t>p</w:t>
      </w:r>
      <w:r w:rsidR="00210A05" w:rsidRPr="00321CBD">
        <w:rPr>
          <w:rFonts w:ascii="Times New Roman" w:hAnsi="Times New Roman" w:cs="Times New Roman"/>
          <w:sz w:val="24"/>
          <w:szCs w:val="24"/>
          <w:lang w:val="lv-LV"/>
        </w:rPr>
        <w:t xml:space="preserve">ozitīva </w:t>
      </w:r>
      <w:r w:rsidR="00210A05" w:rsidRPr="00321CBD">
        <w:rPr>
          <w:rFonts w:ascii="Times New Roman" w:hAnsi="Times New Roman" w:cs="Times New Roman"/>
          <w:sz w:val="24"/>
          <w:szCs w:val="24"/>
          <w:lang w:val="lv-LV"/>
        </w:rPr>
        <w:lastRenderedPageBreak/>
        <w:t>paredzama vērtība 95,83% un negatīva paredzama vērtība 99,32%. Metožu salīdzinājums pēc parametriem ir redzams Tabulā 9.</w:t>
      </w:r>
    </w:p>
    <w:tbl>
      <w:tblPr>
        <w:tblStyle w:val="TableGrid"/>
        <w:tblW w:w="0" w:type="auto"/>
        <w:tblLayout w:type="fixed"/>
        <w:tblLook w:val="04A0" w:firstRow="1" w:lastRow="0" w:firstColumn="1" w:lastColumn="0" w:noHBand="0" w:noVBand="1"/>
      </w:tblPr>
      <w:tblGrid>
        <w:gridCol w:w="3227"/>
        <w:gridCol w:w="2835"/>
        <w:gridCol w:w="2551"/>
        <w:gridCol w:w="1007"/>
      </w:tblGrid>
      <w:tr w:rsidR="00210A05" w:rsidRPr="00090782" w14:paraId="708B0786" w14:textId="77777777" w:rsidTr="0088363B">
        <w:tc>
          <w:tcPr>
            <w:tcW w:w="9620" w:type="dxa"/>
            <w:gridSpan w:val="4"/>
            <w:tcBorders>
              <w:top w:val="single" w:sz="24" w:space="0" w:color="009900"/>
              <w:left w:val="nil"/>
              <w:bottom w:val="single" w:sz="24" w:space="0" w:color="009900"/>
              <w:right w:val="nil"/>
            </w:tcBorders>
          </w:tcPr>
          <w:p w14:paraId="1727E50E" w14:textId="77777777" w:rsidR="00210A05" w:rsidRPr="00321CBD" w:rsidRDefault="00210A05" w:rsidP="0088363B">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Tabula 9. Ultrasonogrāfijas un histerorezektoskopijas metožu diagnostiskās vērtības salīdzinājums attiecībā uz submukozu miomas mezglu</w:t>
            </w:r>
          </w:p>
        </w:tc>
      </w:tr>
      <w:tr w:rsidR="00210A05" w:rsidRPr="00321CBD" w14:paraId="47A88F3A" w14:textId="77777777" w:rsidTr="0088363B">
        <w:trPr>
          <w:gridAfter w:val="1"/>
          <w:wAfter w:w="1007" w:type="dxa"/>
        </w:trPr>
        <w:tc>
          <w:tcPr>
            <w:tcW w:w="3227" w:type="dxa"/>
            <w:tcBorders>
              <w:top w:val="single" w:sz="24" w:space="0" w:color="009900"/>
              <w:left w:val="nil"/>
              <w:bottom w:val="nil"/>
              <w:right w:val="nil"/>
            </w:tcBorders>
          </w:tcPr>
          <w:p w14:paraId="20AC9DC9" w14:textId="77777777" w:rsidR="00210A05" w:rsidRPr="00321CBD" w:rsidRDefault="00210A05" w:rsidP="0088363B">
            <w:pPr>
              <w:spacing w:line="360" w:lineRule="auto"/>
              <w:jc w:val="both"/>
              <w:rPr>
                <w:rFonts w:ascii="Times New Roman" w:hAnsi="Times New Roman" w:cs="Times New Roman"/>
                <w:sz w:val="24"/>
                <w:szCs w:val="24"/>
                <w:lang w:val="lv-LV"/>
              </w:rPr>
            </w:pPr>
          </w:p>
        </w:tc>
        <w:tc>
          <w:tcPr>
            <w:tcW w:w="2835" w:type="dxa"/>
            <w:tcBorders>
              <w:top w:val="single" w:sz="18" w:space="0" w:color="009900"/>
              <w:left w:val="nil"/>
              <w:bottom w:val="nil"/>
              <w:right w:val="nil"/>
            </w:tcBorders>
          </w:tcPr>
          <w:p w14:paraId="192DF679" w14:textId="77777777" w:rsidR="00210A05" w:rsidRPr="00321CBD" w:rsidRDefault="00210A05"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Ultrasonogrāfija</w:t>
            </w:r>
          </w:p>
        </w:tc>
        <w:tc>
          <w:tcPr>
            <w:tcW w:w="2551" w:type="dxa"/>
            <w:tcBorders>
              <w:top w:val="single" w:sz="18" w:space="0" w:color="009900"/>
              <w:left w:val="nil"/>
              <w:bottom w:val="nil"/>
              <w:right w:val="nil"/>
            </w:tcBorders>
          </w:tcPr>
          <w:p w14:paraId="13553A41" w14:textId="77777777" w:rsidR="00210A05" w:rsidRPr="00321CBD" w:rsidRDefault="00210A05"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Histerorezektoskoija</w:t>
            </w:r>
          </w:p>
        </w:tc>
      </w:tr>
      <w:tr w:rsidR="00210A05" w:rsidRPr="00321CBD" w14:paraId="35CDDF41" w14:textId="77777777" w:rsidTr="0088363B">
        <w:trPr>
          <w:gridAfter w:val="1"/>
          <w:wAfter w:w="1007" w:type="dxa"/>
        </w:trPr>
        <w:tc>
          <w:tcPr>
            <w:tcW w:w="3227" w:type="dxa"/>
            <w:tcBorders>
              <w:top w:val="nil"/>
              <w:left w:val="nil"/>
              <w:bottom w:val="nil"/>
              <w:right w:val="nil"/>
            </w:tcBorders>
          </w:tcPr>
          <w:p w14:paraId="288B8614" w14:textId="77777777" w:rsidR="00210A05" w:rsidRPr="00321CBD" w:rsidRDefault="00210A05"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Sensitivitāte</w:t>
            </w:r>
          </w:p>
        </w:tc>
        <w:tc>
          <w:tcPr>
            <w:tcW w:w="2835" w:type="dxa"/>
            <w:tcBorders>
              <w:top w:val="nil"/>
              <w:left w:val="nil"/>
              <w:bottom w:val="nil"/>
              <w:right w:val="nil"/>
            </w:tcBorders>
          </w:tcPr>
          <w:p w14:paraId="0BA37739"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87,50%</w:t>
            </w:r>
          </w:p>
        </w:tc>
        <w:tc>
          <w:tcPr>
            <w:tcW w:w="2551" w:type="dxa"/>
            <w:tcBorders>
              <w:top w:val="nil"/>
              <w:left w:val="nil"/>
              <w:bottom w:val="nil"/>
              <w:right w:val="nil"/>
            </w:tcBorders>
          </w:tcPr>
          <w:p w14:paraId="192183E6" w14:textId="77777777" w:rsidR="00210A05" w:rsidRPr="00321CBD" w:rsidRDefault="00210A05" w:rsidP="00210A05">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95,83%</w:t>
            </w:r>
          </w:p>
        </w:tc>
      </w:tr>
      <w:tr w:rsidR="00210A05" w:rsidRPr="00321CBD" w14:paraId="74690922" w14:textId="77777777" w:rsidTr="0088363B">
        <w:trPr>
          <w:gridAfter w:val="1"/>
          <w:wAfter w:w="1007" w:type="dxa"/>
        </w:trPr>
        <w:tc>
          <w:tcPr>
            <w:tcW w:w="3227" w:type="dxa"/>
            <w:tcBorders>
              <w:top w:val="nil"/>
              <w:left w:val="nil"/>
              <w:bottom w:val="nil"/>
              <w:right w:val="nil"/>
            </w:tcBorders>
          </w:tcPr>
          <w:p w14:paraId="35FA8C24" w14:textId="77777777" w:rsidR="00210A05" w:rsidRPr="00321CBD" w:rsidRDefault="00210A05"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Specifitāte</w:t>
            </w:r>
          </w:p>
        </w:tc>
        <w:tc>
          <w:tcPr>
            <w:tcW w:w="2835" w:type="dxa"/>
            <w:tcBorders>
              <w:top w:val="nil"/>
              <w:left w:val="nil"/>
              <w:bottom w:val="nil"/>
              <w:right w:val="nil"/>
            </w:tcBorders>
          </w:tcPr>
          <w:p w14:paraId="67DF1E83"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97,30%</w:t>
            </w:r>
          </w:p>
        </w:tc>
        <w:tc>
          <w:tcPr>
            <w:tcW w:w="2551" w:type="dxa"/>
            <w:tcBorders>
              <w:top w:val="nil"/>
              <w:left w:val="nil"/>
              <w:bottom w:val="nil"/>
              <w:right w:val="nil"/>
            </w:tcBorders>
          </w:tcPr>
          <w:p w14:paraId="75A274D5"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99,32%</w:t>
            </w:r>
          </w:p>
        </w:tc>
      </w:tr>
      <w:tr w:rsidR="00210A05" w:rsidRPr="00321CBD" w14:paraId="5C0C3A92" w14:textId="77777777" w:rsidTr="0088363B">
        <w:trPr>
          <w:gridAfter w:val="1"/>
          <w:wAfter w:w="1007" w:type="dxa"/>
        </w:trPr>
        <w:tc>
          <w:tcPr>
            <w:tcW w:w="3227" w:type="dxa"/>
            <w:tcBorders>
              <w:top w:val="nil"/>
              <w:left w:val="nil"/>
              <w:bottom w:val="nil"/>
              <w:right w:val="nil"/>
            </w:tcBorders>
          </w:tcPr>
          <w:p w14:paraId="7C9063FF" w14:textId="77777777" w:rsidR="00210A05" w:rsidRPr="00321CBD" w:rsidRDefault="00210A05"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Pozitīva paredzama vērtība</w:t>
            </w:r>
          </w:p>
        </w:tc>
        <w:tc>
          <w:tcPr>
            <w:tcW w:w="2835" w:type="dxa"/>
            <w:tcBorders>
              <w:top w:val="nil"/>
              <w:left w:val="nil"/>
              <w:bottom w:val="nil"/>
              <w:right w:val="nil"/>
            </w:tcBorders>
          </w:tcPr>
          <w:p w14:paraId="4A591736"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84%%</w:t>
            </w:r>
          </w:p>
        </w:tc>
        <w:tc>
          <w:tcPr>
            <w:tcW w:w="2551" w:type="dxa"/>
            <w:tcBorders>
              <w:top w:val="nil"/>
              <w:left w:val="nil"/>
              <w:bottom w:val="nil"/>
              <w:right w:val="nil"/>
            </w:tcBorders>
          </w:tcPr>
          <w:p w14:paraId="56DC49E8"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95,83%</w:t>
            </w:r>
          </w:p>
        </w:tc>
      </w:tr>
      <w:tr w:rsidR="00210A05" w:rsidRPr="00321CBD" w14:paraId="1E65C681" w14:textId="77777777" w:rsidTr="0088363B">
        <w:trPr>
          <w:gridAfter w:val="1"/>
          <w:wAfter w:w="1007" w:type="dxa"/>
        </w:trPr>
        <w:tc>
          <w:tcPr>
            <w:tcW w:w="3227" w:type="dxa"/>
            <w:tcBorders>
              <w:top w:val="nil"/>
              <w:left w:val="nil"/>
              <w:bottom w:val="nil"/>
              <w:right w:val="nil"/>
            </w:tcBorders>
          </w:tcPr>
          <w:p w14:paraId="5C2FE574" w14:textId="77777777" w:rsidR="00210A05" w:rsidRPr="00321CBD" w:rsidRDefault="00210A05"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Negatīva paredzama vērtība</w:t>
            </w:r>
          </w:p>
        </w:tc>
        <w:tc>
          <w:tcPr>
            <w:tcW w:w="2835" w:type="dxa"/>
            <w:tcBorders>
              <w:top w:val="nil"/>
              <w:left w:val="nil"/>
              <w:bottom w:val="nil"/>
              <w:right w:val="nil"/>
            </w:tcBorders>
          </w:tcPr>
          <w:p w14:paraId="34827AFE"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97,96%</w:t>
            </w:r>
          </w:p>
        </w:tc>
        <w:tc>
          <w:tcPr>
            <w:tcW w:w="2551" w:type="dxa"/>
            <w:tcBorders>
              <w:top w:val="nil"/>
              <w:left w:val="nil"/>
              <w:bottom w:val="nil"/>
              <w:right w:val="nil"/>
            </w:tcBorders>
          </w:tcPr>
          <w:p w14:paraId="0CB532AD" w14:textId="77777777" w:rsidR="00210A05" w:rsidRPr="00321CBD" w:rsidRDefault="00210A05"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99,32%</w:t>
            </w:r>
          </w:p>
        </w:tc>
      </w:tr>
      <w:tr w:rsidR="00210A05" w:rsidRPr="00321CBD" w14:paraId="4FAAF9B7" w14:textId="77777777" w:rsidTr="0088363B">
        <w:tc>
          <w:tcPr>
            <w:tcW w:w="9620" w:type="dxa"/>
            <w:gridSpan w:val="4"/>
            <w:tcBorders>
              <w:top w:val="single" w:sz="18" w:space="0" w:color="009900"/>
              <w:left w:val="nil"/>
              <w:bottom w:val="nil"/>
              <w:right w:val="nil"/>
            </w:tcBorders>
          </w:tcPr>
          <w:p w14:paraId="417D0A6C" w14:textId="075A0FA7" w:rsidR="00210A05" w:rsidRPr="00321CBD" w:rsidRDefault="00210A05"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*Nevienai pacientei netika veikta </w:t>
            </w:r>
            <w:r w:rsidR="005634D3" w:rsidRPr="00321CBD">
              <w:rPr>
                <w:rFonts w:ascii="Times New Roman" w:hAnsi="Times New Roman" w:cs="Times New Roman"/>
                <w:sz w:val="24"/>
                <w:szCs w:val="24"/>
                <w:lang w:val="lv-LV"/>
              </w:rPr>
              <w:t>šķidruma sonohisterogrāfija</w:t>
            </w:r>
            <w:r w:rsidRPr="00321CBD">
              <w:rPr>
                <w:rFonts w:ascii="Times New Roman" w:hAnsi="Times New Roman" w:cs="Times New Roman"/>
                <w:sz w:val="24"/>
                <w:szCs w:val="24"/>
                <w:lang w:val="lv-LV"/>
              </w:rPr>
              <w:t>, vai arī nav datu par to.</w:t>
            </w:r>
          </w:p>
          <w:p w14:paraId="7505969D" w14:textId="77777777" w:rsidR="00210A05" w:rsidRPr="00321CBD" w:rsidRDefault="00210A05" w:rsidP="0088363B">
            <w:pPr>
              <w:spacing w:line="360" w:lineRule="auto"/>
              <w:jc w:val="both"/>
              <w:rPr>
                <w:rFonts w:ascii="Times New Roman" w:hAnsi="Times New Roman" w:cs="Times New Roman"/>
                <w:sz w:val="24"/>
                <w:szCs w:val="24"/>
                <w:lang w:val="lv-LV"/>
              </w:rPr>
            </w:pPr>
          </w:p>
          <w:p w14:paraId="72700CE1" w14:textId="77777777" w:rsidR="00210A05" w:rsidRPr="00321CBD" w:rsidRDefault="00210A05" w:rsidP="0088363B">
            <w:pPr>
              <w:spacing w:line="360" w:lineRule="auto"/>
              <w:jc w:val="both"/>
              <w:rPr>
                <w:rFonts w:ascii="Times New Roman" w:hAnsi="Times New Roman" w:cs="Times New Roman"/>
                <w:sz w:val="24"/>
                <w:szCs w:val="24"/>
                <w:lang w:val="lv-LV"/>
              </w:rPr>
            </w:pPr>
          </w:p>
        </w:tc>
      </w:tr>
    </w:tbl>
    <w:p w14:paraId="6D3AC38F" w14:textId="7A2CF7CE" w:rsidR="00210A05" w:rsidRPr="00321CBD" w:rsidRDefault="008809E9" w:rsidP="000D04E2">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13 gadījumos</w:t>
      </w:r>
      <w:r w:rsidR="00660FAE">
        <w:rPr>
          <w:rFonts w:ascii="Times New Roman" w:hAnsi="Times New Roman" w:cs="Times New Roman"/>
          <w:sz w:val="24"/>
          <w:szCs w:val="24"/>
          <w:lang w:val="lv-LV"/>
        </w:rPr>
        <w:t xml:space="preserve"> </w:t>
      </w:r>
      <w:r w:rsidR="00660FAE" w:rsidRPr="00321CBD">
        <w:rPr>
          <w:rFonts w:ascii="Times New Roman" w:hAnsi="Times New Roman" w:cs="Times New Roman"/>
          <w:sz w:val="24"/>
          <w:szCs w:val="24"/>
          <w:lang w:val="lv-LV"/>
        </w:rPr>
        <w:t xml:space="preserve">(54,2%) </w:t>
      </w:r>
      <w:r w:rsidRPr="00321CBD">
        <w:rPr>
          <w:rFonts w:ascii="Times New Roman" w:hAnsi="Times New Roman" w:cs="Times New Roman"/>
          <w:sz w:val="24"/>
          <w:szCs w:val="24"/>
          <w:lang w:val="lv-LV"/>
        </w:rPr>
        <w:t xml:space="preserve">tika </w:t>
      </w:r>
      <w:r w:rsidR="005634D3">
        <w:rPr>
          <w:rFonts w:ascii="Times New Roman" w:hAnsi="Times New Roman" w:cs="Times New Roman"/>
          <w:sz w:val="24"/>
          <w:szCs w:val="24"/>
          <w:lang w:val="lv-LV"/>
        </w:rPr>
        <w:t>diagnosticēta</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arī </w:t>
      </w:r>
      <w:r w:rsidR="005634D3">
        <w:rPr>
          <w:rFonts w:ascii="Times New Roman" w:hAnsi="Times New Roman" w:cs="Times New Roman"/>
          <w:sz w:val="24"/>
          <w:szCs w:val="24"/>
          <w:lang w:val="lv-LV"/>
        </w:rPr>
        <w:t>blakus</w:t>
      </w:r>
      <w:r w:rsidRPr="00321CBD">
        <w:rPr>
          <w:rFonts w:ascii="Times New Roman" w:hAnsi="Times New Roman" w:cs="Times New Roman"/>
          <w:sz w:val="24"/>
          <w:szCs w:val="24"/>
          <w:lang w:val="lv-LV"/>
        </w:rPr>
        <w:t>patoloģija. 10 gadījumos (7</w:t>
      </w:r>
      <w:r w:rsidR="002546F3">
        <w:rPr>
          <w:rFonts w:ascii="Times New Roman" w:hAnsi="Times New Roman" w:cs="Times New Roman"/>
          <w:sz w:val="24"/>
          <w:szCs w:val="24"/>
          <w:lang w:val="lv-LV"/>
        </w:rPr>
        <w:t>1</w:t>
      </w:r>
      <w:r w:rsidRPr="00321CBD">
        <w:rPr>
          <w:rFonts w:ascii="Times New Roman" w:hAnsi="Times New Roman" w:cs="Times New Roman"/>
          <w:sz w:val="24"/>
          <w:szCs w:val="24"/>
          <w:lang w:val="lv-LV"/>
        </w:rPr>
        <w:t>,</w:t>
      </w:r>
      <w:r w:rsidR="002546F3">
        <w:rPr>
          <w:rFonts w:ascii="Times New Roman" w:hAnsi="Times New Roman" w:cs="Times New Roman"/>
          <w:sz w:val="24"/>
          <w:szCs w:val="24"/>
          <w:lang w:val="lv-LV"/>
        </w:rPr>
        <w:t>4</w:t>
      </w:r>
      <w:r w:rsidRPr="00321CBD">
        <w:rPr>
          <w:rFonts w:ascii="Times New Roman" w:hAnsi="Times New Roman" w:cs="Times New Roman"/>
          <w:sz w:val="24"/>
          <w:szCs w:val="24"/>
          <w:lang w:val="lv-LV"/>
        </w:rPr>
        <w:t xml:space="preserve">%) tas bija endometrija polips. </w:t>
      </w:r>
      <w:r w:rsidR="00BA6C73" w:rsidRPr="00321CBD">
        <w:rPr>
          <w:rFonts w:ascii="Times New Roman" w:hAnsi="Times New Roman" w:cs="Times New Roman"/>
          <w:sz w:val="24"/>
          <w:szCs w:val="24"/>
          <w:lang w:val="lv-LV"/>
        </w:rPr>
        <w:t>2</w:t>
      </w:r>
      <w:r w:rsidRPr="00321CBD">
        <w:rPr>
          <w:rFonts w:ascii="Times New Roman" w:hAnsi="Times New Roman" w:cs="Times New Roman"/>
          <w:sz w:val="24"/>
          <w:szCs w:val="24"/>
          <w:lang w:val="lv-LV"/>
        </w:rPr>
        <w:t xml:space="preserve"> gadījumos</w:t>
      </w:r>
      <w:r w:rsidR="00660FAE">
        <w:rPr>
          <w:rFonts w:ascii="Times New Roman" w:hAnsi="Times New Roman" w:cs="Times New Roman"/>
          <w:sz w:val="24"/>
          <w:szCs w:val="24"/>
          <w:lang w:val="lv-LV"/>
        </w:rPr>
        <w:t xml:space="preserve"> </w:t>
      </w:r>
      <w:r w:rsidR="002546F3">
        <w:rPr>
          <w:rFonts w:ascii="Times New Roman" w:hAnsi="Times New Roman" w:cs="Times New Roman"/>
          <w:sz w:val="24"/>
          <w:szCs w:val="24"/>
          <w:lang w:val="lv-LV"/>
        </w:rPr>
        <w:t>(14</w:t>
      </w:r>
      <w:r w:rsidR="00660FAE" w:rsidRPr="00321CBD">
        <w:rPr>
          <w:rFonts w:ascii="Times New Roman" w:hAnsi="Times New Roman" w:cs="Times New Roman"/>
          <w:sz w:val="24"/>
          <w:szCs w:val="24"/>
          <w:lang w:val="lv-LV"/>
        </w:rPr>
        <w:t>,</w:t>
      </w:r>
      <w:r w:rsidR="002546F3">
        <w:rPr>
          <w:rFonts w:ascii="Times New Roman" w:hAnsi="Times New Roman" w:cs="Times New Roman"/>
          <w:sz w:val="24"/>
          <w:szCs w:val="24"/>
          <w:lang w:val="lv-LV"/>
        </w:rPr>
        <w:t>3</w:t>
      </w:r>
      <w:r w:rsidR="00660FAE" w:rsidRPr="00321CBD">
        <w:rPr>
          <w:rFonts w:ascii="Times New Roman" w:hAnsi="Times New Roman" w:cs="Times New Roman"/>
          <w:sz w:val="24"/>
          <w:szCs w:val="24"/>
          <w:lang w:val="lv-LV"/>
        </w:rPr>
        <w:t xml:space="preserve">%) </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endometrija hiperplāzija. Pa vienam gadījumam (7,1%) klāt miomai </w:t>
      </w:r>
      <w:r w:rsidR="00660FAE" w:rsidRPr="00321CBD">
        <w:rPr>
          <w:rFonts w:ascii="Times New Roman" w:hAnsi="Times New Roman" w:cs="Times New Roman"/>
          <w:sz w:val="24"/>
          <w:szCs w:val="24"/>
          <w:lang w:val="lv-LV"/>
        </w:rPr>
        <w:t>histoloģiski</w:t>
      </w:r>
      <w:r w:rsidRPr="00321CBD">
        <w:rPr>
          <w:rFonts w:ascii="Times New Roman" w:hAnsi="Times New Roman" w:cs="Times New Roman"/>
          <w:sz w:val="24"/>
          <w:szCs w:val="24"/>
          <w:lang w:val="lv-LV"/>
        </w:rPr>
        <w:t xml:space="preserve"> tika v</w:t>
      </w:r>
      <w:bookmarkStart w:id="0" w:name="_GoBack"/>
      <w:bookmarkEnd w:id="0"/>
      <w:r w:rsidRPr="00321CBD">
        <w:rPr>
          <w:rFonts w:ascii="Times New Roman" w:hAnsi="Times New Roman" w:cs="Times New Roman"/>
          <w:sz w:val="24"/>
          <w:szCs w:val="24"/>
          <w:lang w:val="lv-LV"/>
        </w:rPr>
        <w:t>erificēts arī cervikāls polips un adenomioze.</w:t>
      </w:r>
    </w:p>
    <w:p w14:paraId="026D3C3D" w14:textId="77777777" w:rsidR="004C057B" w:rsidRPr="00321CBD" w:rsidRDefault="008809E9" w:rsidP="00ED529A">
      <w:pPr>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 xml:space="preserve">PALM </w:t>
      </w:r>
      <w:r w:rsidR="00ED31FA" w:rsidRPr="00321CBD">
        <w:rPr>
          <w:rFonts w:ascii="Times New Roman" w:hAnsi="Times New Roman" w:cs="Times New Roman"/>
          <w:i/>
          <w:sz w:val="24"/>
          <w:szCs w:val="24"/>
          <w:lang w:val="lv-LV"/>
        </w:rPr>
        <w:t>–</w:t>
      </w:r>
      <w:r w:rsidRPr="00321CBD">
        <w:rPr>
          <w:rFonts w:ascii="Times New Roman" w:hAnsi="Times New Roman" w:cs="Times New Roman"/>
          <w:i/>
          <w:sz w:val="24"/>
          <w:szCs w:val="24"/>
          <w:lang w:val="lv-LV"/>
        </w:rPr>
        <w:t xml:space="preserve"> Hiperplāzija</w:t>
      </w:r>
    </w:p>
    <w:p w14:paraId="33ACAA3B" w14:textId="5E24546F" w:rsidR="00ED31FA" w:rsidRPr="00321CBD" w:rsidRDefault="00EE50F8"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53</w:t>
      </w:r>
      <w:r w:rsidR="008C4FE4" w:rsidRPr="00321CBD">
        <w:rPr>
          <w:rFonts w:ascii="Times New Roman" w:hAnsi="Times New Roman" w:cs="Times New Roman"/>
          <w:sz w:val="24"/>
          <w:szCs w:val="24"/>
          <w:lang w:val="lv-LV"/>
        </w:rPr>
        <w:t xml:space="preserve"> sievietēm </w:t>
      </w:r>
      <w:r w:rsidR="00660FAE" w:rsidRPr="00321CBD">
        <w:rPr>
          <w:rFonts w:ascii="Times New Roman" w:hAnsi="Times New Roman" w:cs="Times New Roman"/>
          <w:sz w:val="24"/>
          <w:szCs w:val="24"/>
          <w:lang w:val="lv-LV"/>
        </w:rPr>
        <w:t xml:space="preserve">(30,8%) </w:t>
      </w:r>
      <w:r w:rsidR="008C4FE4" w:rsidRPr="00321CBD">
        <w:rPr>
          <w:rFonts w:ascii="Times New Roman" w:hAnsi="Times New Roman" w:cs="Times New Roman"/>
          <w:sz w:val="24"/>
          <w:szCs w:val="24"/>
          <w:lang w:val="lv-LV"/>
        </w:rPr>
        <w:t xml:space="preserve">no 172 tika izteiktas aizdomas par hiperplāziju. 35 no tām (66%) hiperplāzija tika </w:t>
      </w:r>
      <w:r w:rsidR="00BB7965" w:rsidRPr="00321CBD">
        <w:rPr>
          <w:rFonts w:ascii="Times New Roman" w:hAnsi="Times New Roman" w:cs="Times New Roman"/>
          <w:sz w:val="24"/>
          <w:szCs w:val="24"/>
          <w:lang w:val="lv-LV"/>
        </w:rPr>
        <w:t xml:space="preserve">apstiprināta histoloģiski. </w:t>
      </w:r>
      <w:r w:rsidR="00510F74" w:rsidRPr="00321CBD">
        <w:rPr>
          <w:rFonts w:ascii="Times New Roman" w:hAnsi="Times New Roman" w:cs="Times New Roman"/>
          <w:sz w:val="24"/>
          <w:szCs w:val="24"/>
          <w:lang w:val="lv-LV"/>
        </w:rPr>
        <w:t>5 sievietēm</w:t>
      </w:r>
      <w:r w:rsidR="00222FE0" w:rsidRPr="00321CBD">
        <w:rPr>
          <w:rFonts w:ascii="Times New Roman" w:hAnsi="Times New Roman" w:cs="Times New Roman"/>
          <w:sz w:val="24"/>
          <w:szCs w:val="24"/>
          <w:lang w:val="lv-LV"/>
        </w:rPr>
        <w:t xml:space="preserve"> (14,3%)</w:t>
      </w:r>
      <w:r w:rsidR="00510F74" w:rsidRPr="00321CBD">
        <w:rPr>
          <w:rFonts w:ascii="Times New Roman" w:hAnsi="Times New Roman" w:cs="Times New Roman"/>
          <w:sz w:val="24"/>
          <w:szCs w:val="24"/>
          <w:lang w:val="lv-LV"/>
        </w:rPr>
        <w:t>, kam bija apstiprināta hiperplāzija</w:t>
      </w:r>
      <w:r w:rsidR="00660FAE">
        <w:rPr>
          <w:rFonts w:ascii="Times New Roman" w:hAnsi="Times New Roman" w:cs="Times New Roman"/>
          <w:sz w:val="24"/>
          <w:szCs w:val="24"/>
          <w:lang w:val="lv-LV"/>
        </w:rPr>
        <w:t>,</w:t>
      </w:r>
      <w:r w:rsidR="00510F74" w:rsidRPr="00321CBD">
        <w:rPr>
          <w:rFonts w:ascii="Times New Roman" w:hAnsi="Times New Roman" w:cs="Times New Roman"/>
          <w:sz w:val="24"/>
          <w:szCs w:val="24"/>
          <w:lang w:val="lv-LV"/>
        </w:rPr>
        <w:t xml:space="preserve"> uz konkrēto brīdi bija jau iestājusies menopauze</w:t>
      </w:r>
      <w:r w:rsidR="00222FE0" w:rsidRPr="00321CBD">
        <w:rPr>
          <w:rFonts w:ascii="Times New Roman" w:hAnsi="Times New Roman" w:cs="Times New Roman"/>
          <w:sz w:val="24"/>
          <w:szCs w:val="24"/>
          <w:lang w:val="lv-LV"/>
        </w:rPr>
        <w:t xml:space="preserve">. </w:t>
      </w:r>
      <w:r w:rsidR="005E4CE7" w:rsidRPr="00321CBD">
        <w:rPr>
          <w:rFonts w:ascii="Times New Roman" w:hAnsi="Times New Roman" w:cs="Times New Roman"/>
          <w:sz w:val="24"/>
          <w:szCs w:val="24"/>
          <w:lang w:val="lv-LV"/>
        </w:rPr>
        <w:t>Sadalījums pa vecuma grupām atspoguļots Tabulā 10.</w:t>
      </w:r>
    </w:p>
    <w:tbl>
      <w:tblPr>
        <w:tblStyle w:val="TableGrid"/>
        <w:tblW w:w="0" w:type="auto"/>
        <w:tblLook w:val="04A0" w:firstRow="1" w:lastRow="0" w:firstColumn="1" w:lastColumn="0" w:noHBand="0" w:noVBand="1"/>
      </w:tblPr>
      <w:tblGrid>
        <w:gridCol w:w="3085"/>
        <w:gridCol w:w="3361"/>
        <w:gridCol w:w="3018"/>
        <w:gridCol w:w="156"/>
      </w:tblGrid>
      <w:tr w:rsidR="005E4CE7" w:rsidRPr="00090782" w14:paraId="0B01DC3D" w14:textId="77777777" w:rsidTr="0088363B">
        <w:tc>
          <w:tcPr>
            <w:tcW w:w="9620" w:type="dxa"/>
            <w:gridSpan w:val="4"/>
            <w:tcBorders>
              <w:top w:val="single" w:sz="24" w:space="0" w:color="009900"/>
              <w:left w:val="nil"/>
              <w:bottom w:val="single" w:sz="24" w:space="0" w:color="009900"/>
              <w:right w:val="nil"/>
            </w:tcBorders>
          </w:tcPr>
          <w:p w14:paraId="020B6A83" w14:textId="77777777" w:rsidR="005E4CE7" w:rsidRPr="00321CBD" w:rsidRDefault="005E4CE7" w:rsidP="005E4CE7">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Tabula 10. Sadalījums pa vecuma grupām sievietēm ar histoloģiski pierādītu endometrija hiperplāziju</w:t>
            </w:r>
          </w:p>
        </w:tc>
      </w:tr>
      <w:tr w:rsidR="005E4CE7" w:rsidRPr="00321CBD" w14:paraId="56FDE248" w14:textId="77777777" w:rsidTr="0088363B">
        <w:trPr>
          <w:gridAfter w:val="1"/>
          <w:wAfter w:w="156" w:type="dxa"/>
        </w:trPr>
        <w:tc>
          <w:tcPr>
            <w:tcW w:w="3085" w:type="dxa"/>
            <w:tcBorders>
              <w:top w:val="single" w:sz="18" w:space="0" w:color="009900"/>
              <w:left w:val="nil"/>
              <w:bottom w:val="nil"/>
              <w:right w:val="nil"/>
            </w:tcBorders>
          </w:tcPr>
          <w:p w14:paraId="616ACFED" w14:textId="77777777" w:rsidR="005E4CE7" w:rsidRPr="00321CBD" w:rsidRDefault="005E4CE7"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Līdz 45</w:t>
            </w:r>
          </w:p>
        </w:tc>
        <w:tc>
          <w:tcPr>
            <w:tcW w:w="3361" w:type="dxa"/>
            <w:tcBorders>
              <w:top w:val="single" w:sz="18" w:space="0" w:color="009900"/>
              <w:left w:val="nil"/>
              <w:bottom w:val="nil"/>
              <w:right w:val="nil"/>
            </w:tcBorders>
          </w:tcPr>
          <w:p w14:paraId="59B797AB" w14:textId="77777777" w:rsidR="005E4CE7" w:rsidRPr="00321CBD" w:rsidRDefault="005E4CE7"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No 46 līdz 55</w:t>
            </w:r>
          </w:p>
        </w:tc>
        <w:tc>
          <w:tcPr>
            <w:tcW w:w="3018" w:type="dxa"/>
            <w:tcBorders>
              <w:top w:val="single" w:sz="18" w:space="0" w:color="009900"/>
              <w:left w:val="nil"/>
              <w:bottom w:val="nil"/>
              <w:right w:val="nil"/>
            </w:tcBorders>
          </w:tcPr>
          <w:p w14:paraId="73427135" w14:textId="77777777" w:rsidR="005E4CE7" w:rsidRPr="00321CBD" w:rsidRDefault="005E4CE7"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Virs 55</w:t>
            </w:r>
          </w:p>
        </w:tc>
      </w:tr>
      <w:tr w:rsidR="005E4CE7" w:rsidRPr="00321CBD" w14:paraId="1F421CAE" w14:textId="77777777" w:rsidTr="0088363B">
        <w:trPr>
          <w:gridAfter w:val="1"/>
          <w:wAfter w:w="156" w:type="dxa"/>
        </w:trPr>
        <w:tc>
          <w:tcPr>
            <w:tcW w:w="3085" w:type="dxa"/>
            <w:tcBorders>
              <w:top w:val="nil"/>
              <w:left w:val="nil"/>
              <w:bottom w:val="nil"/>
              <w:right w:val="nil"/>
            </w:tcBorders>
          </w:tcPr>
          <w:p w14:paraId="64DED0E0" w14:textId="77777777" w:rsidR="005E4CE7" w:rsidRPr="00321CBD" w:rsidRDefault="005E4CE7" w:rsidP="005E4CE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21 (60%)</w:t>
            </w:r>
          </w:p>
        </w:tc>
        <w:tc>
          <w:tcPr>
            <w:tcW w:w="3361" w:type="dxa"/>
            <w:tcBorders>
              <w:top w:val="nil"/>
              <w:left w:val="nil"/>
              <w:bottom w:val="nil"/>
              <w:right w:val="nil"/>
            </w:tcBorders>
          </w:tcPr>
          <w:p w14:paraId="530010B8" w14:textId="77777777" w:rsidR="005E4CE7" w:rsidRPr="00321CBD" w:rsidRDefault="005E4CE7" w:rsidP="005E4CE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11(31,4%)</w:t>
            </w:r>
          </w:p>
        </w:tc>
        <w:tc>
          <w:tcPr>
            <w:tcW w:w="3018" w:type="dxa"/>
            <w:tcBorders>
              <w:top w:val="nil"/>
              <w:left w:val="nil"/>
              <w:bottom w:val="nil"/>
              <w:right w:val="nil"/>
            </w:tcBorders>
          </w:tcPr>
          <w:p w14:paraId="448E3989" w14:textId="77777777" w:rsidR="005E4CE7" w:rsidRPr="00321CBD" w:rsidRDefault="005E4CE7" w:rsidP="005E4CE7">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3(8,6%)</w:t>
            </w:r>
          </w:p>
        </w:tc>
      </w:tr>
      <w:tr w:rsidR="005E4CE7" w:rsidRPr="00321CBD" w14:paraId="11DAED13" w14:textId="77777777" w:rsidTr="0088363B">
        <w:tc>
          <w:tcPr>
            <w:tcW w:w="9620" w:type="dxa"/>
            <w:gridSpan w:val="4"/>
            <w:tcBorders>
              <w:top w:val="single" w:sz="18" w:space="0" w:color="009900"/>
              <w:left w:val="nil"/>
              <w:bottom w:val="nil"/>
              <w:right w:val="nil"/>
            </w:tcBorders>
          </w:tcPr>
          <w:p w14:paraId="465305DE" w14:textId="77777777" w:rsidR="005E4CE7" w:rsidRPr="00321CBD" w:rsidRDefault="005E4CE7"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*Iekavās procentuāli pa vecuma grupām</w:t>
            </w:r>
          </w:p>
          <w:p w14:paraId="7A14FA80" w14:textId="77777777" w:rsidR="005E4CE7" w:rsidRPr="00321CBD" w:rsidRDefault="005E4CE7" w:rsidP="0088363B">
            <w:pPr>
              <w:spacing w:line="360" w:lineRule="auto"/>
              <w:jc w:val="both"/>
              <w:rPr>
                <w:rFonts w:ascii="Times New Roman" w:hAnsi="Times New Roman" w:cs="Times New Roman"/>
                <w:sz w:val="24"/>
                <w:szCs w:val="24"/>
                <w:lang w:val="lv-LV"/>
              </w:rPr>
            </w:pPr>
          </w:p>
        </w:tc>
      </w:tr>
    </w:tbl>
    <w:p w14:paraId="16C5AD06" w14:textId="77777777" w:rsidR="005E4CE7" w:rsidRPr="00321CBD" w:rsidRDefault="005E4CE7" w:rsidP="00222FE0">
      <w:pPr>
        <w:spacing w:line="360" w:lineRule="auto"/>
        <w:jc w:val="both"/>
        <w:rPr>
          <w:rFonts w:ascii="Times New Roman" w:hAnsi="Times New Roman" w:cs="Times New Roman"/>
          <w:sz w:val="24"/>
          <w:szCs w:val="24"/>
          <w:lang w:val="lv-LV"/>
        </w:rPr>
      </w:pPr>
    </w:p>
    <w:p w14:paraId="388B7EB8" w14:textId="2F744454" w:rsidR="001513C8" w:rsidRPr="00321CBD" w:rsidRDefault="00660FAE"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Sūdzības</w:t>
      </w:r>
      <w:r w:rsidR="006E4161"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atzīmēja</w:t>
      </w:r>
      <w:r w:rsidR="006E4161" w:rsidRPr="00321CBD">
        <w:rPr>
          <w:rFonts w:ascii="Times New Roman" w:hAnsi="Times New Roman" w:cs="Times New Roman"/>
          <w:sz w:val="24"/>
          <w:szCs w:val="24"/>
          <w:lang w:val="lv-LV"/>
        </w:rPr>
        <w:t xml:space="preserve"> 80% pacientes, kam histoloģiski tika pieradīta hiperplāzija. </w:t>
      </w:r>
      <w:r w:rsidR="007825EE" w:rsidRPr="00321CBD">
        <w:rPr>
          <w:rFonts w:ascii="Times New Roman" w:hAnsi="Times New Roman" w:cs="Times New Roman"/>
          <w:sz w:val="24"/>
          <w:szCs w:val="24"/>
          <w:lang w:val="lv-LV"/>
        </w:rPr>
        <w:t>Salīdzinot sievietes menopauzes vecumā un ne</w:t>
      </w:r>
      <w:r>
        <w:rPr>
          <w:rFonts w:ascii="Times New Roman" w:hAnsi="Times New Roman" w:cs="Times New Roman"/>
          <w:sz w:val="24"/>
          <w:szCs w:val="24"/>
          <w:lang w:val="lv-LV"/>
        </w:rPr>
        <w:t xml:space="preserve"> </w:t>
      </w:r>
      <w:r w:rsidR="007825EE" w:rsidRPr="00321CBD">
        <w:rPr>
          <w:rFonts w:ascii="Times New Roman" w:hAnsi="Times New Roman" w:cs="Times New Roman"/>
          <w:sz w:val="24"/>
          <w:szCs w:val="24"/>
          <w:lang w:val="lv-LV"/>
        </w:rPr>
        <w:t xml:space="preserve">menopauzes vecumā pēc sūdzību esamības, statistiski ticama atšķirība nav atrasta. Abās grupās </w:t>
      </w:r>
      <w:r w:rsidRPr="00321CBD">
        <w:rPr>
          <w:rFonts w:ascii="Times New Roman" w:hAnsi="Times New Roman" w:cs="Times New Roman"/>
          <w:sz w:val="24"/>
          <w:szCs w:val="24"/>
          <w:lang w:val="lv-LV"/>
        </w:rPr>
        <w:t>sūdzības</w:t>
      </w:r>
      <w:r w:rsidR="007825EE" w:rsidRPr="00321CBD">
        <w:rPr>
          <w:rFonts w:ascii="Times New Roman" w:hAnsi="Times New Roman" w:cs="Times New Roman"/>
          <w:sz w:val="24"/>
          <w:szCs w:val="24"/>
          <w:lang w:val="lv-LV"/>
        </w:rPr>
        <w:t xml:space="preserve"> atzīmētas 80% gadījumos. (</w:t>
      </w:r>
      <w:r w:rsidR="007825EE" w:rsidRPr="00321CBD">
        <w:rPr>
          <w:rFonts w:ascii="Times New Roman" w:hAnsi="Times New Roman" w:cs="Times New Roman"/>
          <w:i/>
          <w:sz w:val="24"/>
          <w:szCs w:val="24"/>
          <w:lang w:val="lv-LV"/>
        </w:rPr>
        <w:t>p&gt;0,05</w:t>
      </w:r>
      <w:r w:rsidR="007825EE" w:rsidRPr="00321CBD">
        <w:rPr>
          <w:rFonts w:ascii="Times New Roman" w:hAnsi="Times New Roman" w:cs="Times New Roman"/>
          <w:sz w:val="24"/>
          <w:szCs w:val="24"/>
          <w:lang w:val="lv-LV"/>
        </w:rPr>
        <w:t xml:space="preserve">) </w:t>
      </w:r>
      <w:r w:rsidR="001513C8" w:rsidRPr="00321CBD">
        <w:rPr>
          <w:rFonts w:ascii="Times New Roman" w:hAnsi="Times New Roman" w:cs="Times New Roman"/>
          <w:sz w:val="24"/>
          <w:szCs w:val="24"/>
          <w:lang w:val="lv-LV"/>
        </w:rPr>
        <w:t xml:space="preserve"> Atšķirība arī netika atrasta starp pacientiem ar palielinātu svaru un nepalielinātu svaru (</w:t>
      </w:r>
      <w:r w:rsidR="001513C8" w:rsidRPr="00321CBD">
        <w:rPr>
          <w:rFonts w:ascii="Times New Roman" w:hAnsi="Times New Roman" w:cs="Times New Roman"/>
          <w:i/>
          <w:sz w:val="24"/>
          <w:szCs w:val="24"/>
          <w:lang w:val="lv-LV"/>
        </w:rPr>
        <w:t>p&gt;0,05</w:t>
      </w:r>
      <w:r w:rsidR="001513C8"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Sūdzību</w:t>
      </w:r>
      <w:r w:rsidR="001513C8" w:rsidRPr="00321CBD">
        <w:rPr>
          <w:rFonts w:ascii="Times New Roman" w:hAnsi="Times New Roman" w:cs="Times New Roman"/>
          <w:sz w:val="24"/>
          <w:szCs w:val="24"/>
          <w:lang w:val="lv-LV"/>
        </w:rPr>
        <w:t xml:space="preserve"> esamība atkarībā no palielināta svara ir paradīta Grafikā 4.</w:t>
      </w:r>
    </w:p>
    <w:p w14:paraId="5A8933E1" w14:textId="77777777" w:rsidR="005E4CE7" w:rsidRPr="00321CBD" w:rsidRDefault="00355171"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3E900BD" wp14:editId="6CCE218F">
                <wp:simplePos x="0" y="0"/>
                <wp:positionH relativeFrom="column">
                  <wp:posOffset>106176</wp:posOffset>
                </wp:positionH>
                <wp:positionV relativeFrom="paragraph">
                  <wp:posOffset>3206115</wp:posOffset>
                </wp:positionV>
                <wp:extent cx="5495925" cy="27622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5495925" cy="276225"/>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14:paraId="4F32B314" w14:textId="0EC3253E" w:rsidR="00090782" w:rsidRPr="006B394C" w:rsidRDefault="00090782" w:rsidP="00355171">
                            <w:pPr>
                              <w:pBdr>
                                <w:top w:val="single" w:sz="4" w:space="1" w:color="009900"/>
                              </w:pBdr>
                              <w:rPr>
                                <w:b/>
                                <w:lang w:val="lv-LV"/>
                              </w:rPr>
                            </w:pPr>
                            <w:r>
                              <w:rPr>
                                <w:b/>
                                <w:lang w:val="lv-LV"/>
                              </w:rPr>
                              <w:t>Grafiks 4</w:t>
                            </w:r>
                            <w:r w:rsidRPr="006B394C">
                              <w:rPr>
                                <w:b/>
                                <w:lang w:val="lv-LV"/>
                              </w:rPr>
                              <w:t xml:space="preserve">. </w:t>
                            </w:r>
                            <w:r>
                              <w:rPr>
                                <w:b/>
                                <w:lang w:val="lv-LV"/>
                              </w:rPr>
                              <w:t>Sūdzību esamība atkarībā no palielināta svara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5" o:spid="_x0000_s1031" type="#_x0000_t202" style="position:absolute;left:0;text-align:left;margin-left:8.35pt;margin-top:252.45pt;width:432.75pt;height:21.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" fillcolor="white [3201]" stroked="f" strokeweight=".25pt">
                <v:textbox>
                  <w:txbxContent>
                    <w:p w14:paraId="4F32B314" w14:textId="0EC3253E" w:rsidR="00C717B0" w:rsidRPr="006B394C" w:rsidRDefault="00C717B0" w:rsidP="00355171">
                      <w:pPr>
                        <w:pBdr>
                          <w:top w:val="single" w:sz="4" w:space="1" w:color="009900"/>
                        </w:pBdr>
                        <w:rPr>
                          <w:b/>
                          <w:lang w:val="lv-LV"/>
                        </w:rPr>
                      </w:pPr>
                      <w:r>
                        <w:rPr>
                          <w:b/>
                          <w:lang w:val="lv-LV"/>
                        </w:rPr>
                        <w:t>Grafiks 4</w:t>
                      </w:r>
                      <w:r w:rsidRPr="006B394C">
                        <w:rPr>
                          <w:b/>
                          <w:lang w:val="lv-LV"/>
                        </w:rPr>
                        <w:t xml:space="preserve">. </w:t>
                      </w:r>
                      <w:r>
                        <w:rPr>
                          <w:b/>
                          <w:lang w:val="lv-LV"/>
                        </w:rPr>
                        <w:t>Sūdzību esamība atkarībā no palielināta svara</w:t>
                      </w:r>
                    </w:p>
                  </w:txbxContent>
                </v:textbox>
              </v:shape>
            </w:pict>
          </mc:Fallback>
        </mc:AlternateContent>
      </w:r>
      <w:r w:rsidR="001513C8" w:rsidRPr="00321CBD">
        <w:rPr>
          <w:rFonts w:ascii="Times New Roman" w:hAnsi="Times New Roman" w:cs="Times New Roman"/>
          <w:sz w:val="24"/>
          <w:szCs w:val="24"/>
          <w:lang w:val="lv-LV"/>
        </w:rPr>
        <w:t xml:space="preserve"> </w:t>
      </w:r>
      <w:r w:rsidRPr="00321CBD">
        <w:rPr>
          <w:rFonts w:ascii="Times New Roman" w:hAnsi="Times New Roman" w:cs="Times New Roman"/>
          <w:noProof/>
          <w:sz w:val="24"/>
          <w:szCs w:val="24"/>
        </w:rPr>
        <w:drawing>
          <wp:inline distT="0" distB="0" distL="0" distR="0" wp14:anchorId="3AEA4F0E" wp14:editId="49E79956">
            <wp:extent cx="5486400" cy="32004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8332D" w14:textId="77777777" w:rsidR="001513C8" w:rsidRPr="00321CBD" w:rsidRDefault="001513C8" w:rsidP="00222FE0">
      <w:pPr>
        <w:spacing w:line="360" w:lineRule="auto"/>
        <w:jc w:val="both"/>
        <w:rPr>
          <w:rFonts w:ascii="Times New Roman" w:hAnsi="Times New Roman" w:cs="Times New Roman"/>
          <w:sz w:val="24"/>
          <w:szCs w:val="24"/>
          <w:lang w:val="lv-LV"/>
        </w:rPr>
      </w:pPr>
    </w:p>
    <w:p w14:paraId="55F02987" w14:textId="2D27186D" w:rsidR="006408A0" w:rsidRPr="00321CBD" w:rsidRDefault="009906B1"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89,3% no pacientēm ar sūdzībām </w:t>
      </w:r>
      <w:r w:rsidR="00660FAE">
        <w:rPr>
          <w:rFonts w:ascii="Times New Roman" w:hAnsi="Times New Roman" w:cs="Times New Roman"/>
          <w:sz w:val="24"/>
          <w:szCs w:val="24"/>
          <w:lang w:val="lv-LV"/>
        </w:rPr>
        <w:t>bija saistītas ar</w:t>
      </w:r>
      <w:r w:rsidRPr="00321CBD">
        <w:rPr>
          <w:rFonts w:ascii="Times New Roman" w:hAnsi="Times New Roman" w:cs="Times New Roman"/>
          <w:sz w:val="24"/>
          <w:szCs w:val="24"/>
          <w:lang w:val="lv-LV"/>
        </w:rPr>
        <w:t xml:space="preserve"> asiņošanu. Lielāka daļa no tām bija vecumā līdz 45 gadiem (</w:t>
      </w:r>
      <w:r w:rsidR="00865AC9" w:rsidRPr="00321CBD">
        <w:rPr>
          <w:rFonts w:ascii="Times New Roman" w:hAnsi="Times New Roman" w:cs="Times New Roman"/>
          <w:sz w:val="24"/>
          <w:szCs w:val="24"/>
          <w:lang w:val="lv-LV"/>
        </w:rPr>
        <w:t>64</w:t>
      </w:r>
      <w:r w:rsidRPr="00321CBD">
        <w:rPr>
          <w:rFonts w:ascii="Times New Roman" w:hAnsi="Times New Roman" w:cs="Times New Roman"/>
          <w:sz w:val="24"/>
          <w:szCs w:val="24"/>
          <w:lang w:val="lv-LV"/>
        </w:rPr>
        <w:t>%)</w:t>
      </w:r>
      <w:r w:rsidR="00865AC9" w:rsidRPr="00321CBD">
        <w:rPr>
          <w:rFonts w:ascii="Times New Roman" w:hAnsi="Times New Roman" w:cs="Times New Roman"/>
          <w:sz w:val="24"/>
          <w:szCs w:val="24"/>
          <w:lang w:val="lv-LV"/>
        </w:rPr>
        <w:t>. Menopauz</w:t>
      </w:r>
      <w:r w:rsidR="00660FAE">
        <w:rPr>
          <w:rFonts w:ascii="Times New Roman" w:hAnsi="Times New Roman" w:cs="Times New Roman"/>
          <w:sz w:val="24"/>
          <w:szCs w:val="24"/>
          <w:lang w:val="lv-LV"/>
        </w:rPr>
        <w:t>es periodā</w:t>
      </w:r>
      <w:r w:rsidR="00865AC9" w:rsidRPr="00321CBD">
        <w:rPr>
          <w:rFonts w:ascii="Times New Roman" w:hAnsi="Times New Roman" w:cs="Times New Roman"/>
          <w:sz w:val="24"/>
          <w:szCs w:val="24"/>
          <w:lang w:val="lv-LV"/>
        </w:rPr>
        <w:t xml:space="preserve"> bija 12</w:t>
      </w:r>
      <w:r w:rsidRPr="00321CBD">
        <w:rPr>
          <w:rFonts w:ascii="Times New Roman" w:hAnsi="Times New Roman" w:cs="Times New Roman"/>
          <w:sz w:val="24"/>
          <w:szCs w:val="24"/>
          <w:lang w:val="lv-LV"/>
        </w:rPr>
        <w:t xml:space="preserve">% sievietes. </w:t>
      </w:r>
      <w:r w:rsidR="00607099" w:rsidRPr="00321CBD">
        <w:rPr>
          <w:rFonts w:ascii="Times New Roman" w:hAnsi="Times New Roman" w:cs="Times New Roman"/>
          <w:sz w:val="24"/>
          <w:szCs w:val="24"/>
          <w:lang w:val="lv-LV"/>
        </w:rPr>
        <w:t>No asiņošanas veida sievietēm ne</w:t>
      </w:r>
      <w:r w:rsidR="00660FAE">
        <w:rPr>
          <w:rFonts w:ascii="Times New Roman" w:hAnsi="Times New Roman" w:cs="Times New Roman"/>
          <w:sz w:val="24"/>
          <w:szCs w:val="24"/>
          <w:lang w:val="lv-LV"/>
        </w:rPr>
        <w:t xml:space="preserve"> </w:t>
      </w:r>
      <w:r w:rsidR="00607099" w:rsidRPr="00321CBD">
        <w:rPr>
          <w:rFonts w:ascii="Times New Roman" w:hAnsi="Times New Roman" w:cs="Times New Roman"/>
          <w:sz w:val="24"/>
          <w:szCs w:val="24"/>
          <w:lang w:val="lv-LV"/>
        </w:rPr>
        <w:t>menopauzē, visbiežāk tika atzīmēta menorāģija</w:t>
      </w:r>
      <w:r w:rsidR="00660FAE">
        <w:rPr>
          <w:rFonts w:ascii="Times New Roman" w:hAnsi="Times New Roman" w:cs="Times New Roman"/>
          <w:sz w:val="24"/>
          <w:szCs w:val="24"/>
          <w:lang w:val="lv-LV"/>
        </w:rPr>
        <w:t xml:space="preserve"> -</w:t>
      </w:r>
      <w:r w:rsidR="00607099" w:rsidRPr="00321CBD">
        <w:rPr>
          <w:rFonts w:ascii="Times New Roman" w:hAnsi="Times New Roman" w:cs="Times New Roman"/>
          <w:sz w:val="24"/>
          <w:szCs w:val="24"/>
          <w:lang w:val="lv-LV"/>
        </w:rPr>
        <w:t xml:space="preserve"> 59,1% </w:t>
      </w:r>
      <w:r w:rsidR="00660FAE" w:rsidRPr="00321CBD">
        <w:rPr>
          <w:rFonts w:ascii="Times New Roman" w:hAnsi="Times New Roman" w:cs="Times New Roman"/>
          <w:sz w:val="24"/>
          <w:szCs w:val="24"/>
          <w:lang w:val="lv-LV"/>
        </w:rPr>
        <w:t>gadījumos</w:t>
      </w:r>
      <w:r w:rsidR="00607099" w:rsidRPr="00321CBD">
        <w:rPr>
          <w:rFonts w:ascii="Times New Roman" w:hAnsi="Times New Roman" w:cs="Times New Roman"/>
          <w:sz w:val="24"/>
          <w:szCs w:val="24"/>
          <w:lang w:val="lv-LV"/>
        </w:rPr>
        <w:t xml:space="preserve">. Tāpat kā ar sūdzībām vispār, tā arī tieši attiecībā uz asiņošanu netika atrasta atšķirība starp </w:t>
      </w:r>
      <w:r w:rsidR="006408A0" w:rsidRPr="00321CBD">
        <w:rPr>
          <w:rFonts w:ascii="Times New Roman" w:hAnsi="Times New Roman" w:cs="Times New Roman"/>
          <w:sz w:val="24"/>
          <w:szCs w:val="24"/>
          <w:lang w:val="lv-LV"/>
        </w:rPr>
        <w:t>sievietēm ar normālu un palielinātu svaru. (</w:t>
      </w:r>
      <w:r w:rsidR="006408A0" w:rsidRPr="00321CBD">
        <w:rPr>
          <w:rFonts w:ascii="Times New Roman" w:hAnsi="Times New Roman" w:cs="Times New Roman"/>
          <w:i/>
          <w:sz w:val="24"/>
          <w:szCs w:val="24"/>
          <w:lang w:val="lv-LV"/>
        </w:rPr>
        <w:t>p&gt;0,05</w:t>
      </w:r>
      <w:r w:rsidR="006408A0" w:rsidRPr="00321CBD">
        <w:rPr>
          <w:rFonts w:ascii="Times New Roman" w:hAnsi="Times New Roman" w:cs="Times New Roman"/>
          <w:sz w:val="24"/>
          <w:szCs w:val="24"/>
          <w:lang w:val="lv-LV"/>
        </w:rPr>
        <w:t>) Pacientu asiņošanas esamība atkarība no svara ir paradīta Tabulā 11.</w:t>
      </w:r>
    </w:p>
    <w:p w14:paraId="7975F442" w14:textId="77777777" w:rsidR="006408A0" w:rsidRPr="00321CBD" w:rsidRDefault="006408A0">
      <w:pPr>
        <w:rPr>
          <w:rFonts w:ascii="Times New Roman" w:hAnsi="Times New Roman" w:cs="Times New Roman"/>
          <w:sz w:val="24"/>
          <w:szCs w:val="24"/>
          <w:lang w:val="lv-LV"/>
        </w:rPr>
      </w:pPr>
      <w:r w:rsidRPr="00321CBD">
        <w:rPr>
          <w:rFonts w:ascii="Times New Roman" w:hAnsi="Times New Roman" w:cs="Times New Roman"/>
          <w:sz w:val="24"/>
          <w:szCs w:val="24"/>
          <w:lang w:val="lv-LV"/>
        </w:rPr>
        <w:br w:type="page"/>
      </w:r>
    </w:p>
    <w:p w14:paraId="3D288E79" w14:textId="77777777" w:rsidR="00355171" w:rsidRPr="00321CBD" w:rsidRDefault="00355171" w:rsidP="00222FE0">
      <w:pPr>
        <w:spacing w:line="360" w:lineRule="auto"/>
        <w:jc w:val="both"/>
        <w:rPr>
          <w:rFonts w:ascii="Times New Roman" w:hAnsi="Times New Roman" w:cs="Times New Roman"/>
          <w:sz w:val="24"/>
          <w:szCs w:val="24"/>
          <w:lang w:val="lv-LV"/>
        </w:rPr>
      </w:pPr>
    </w:p>
    <w:tbl>
      <w:tblPr>
        <w:tblStyle w:val="TableGrid"/>
        <w:tblW w:w="0" w:type="auto"/>
        <w:tblLayout w:type="fixed"/>
        <w:tblLook w:val="04A0" w:firstRow="1" w:lastRow="0" w:firstColumn="1" w:lastColumn="0" w:noHBand="0" w:noVBand="1"/>
      </w:tblPr>
      <w:tblGrid>
        <w:gridCol w:w="3227"/>
        <w:gridCol w:w="2835"/>
        <w:gridCol w:w="2551"/>
        <w:gridCol w:w="1007"/>
      </w:tblGrid>
      <w:tr w:rsidR="006408A0" w:rsidRPr="00090782" w14:paraId="76A10DAD" w14:textId="77777777" w:rsidTr="0088363B">
        <w:tc>
          <w:tcPr>
            <w:tcW w:w="9620" w:type="dxa"/>
            <w:gridSpan w:val="4"/>
            <w:tcBorders>
              <w:top w:val="single" w:sz="24" w:space="0" w:color="009900"/>
              <w:left w:val="nil"/>
              <w:bottom w:val="single" w:sz="24" w:space="0" w:color="009900"/>
              <w:right w:val="nil"/>
            </w:tcBorders>
          </w:tcPr>
          <w:p w14:paraId="57EE9398" w14:textId="0D6AC8E7" w:rsidR="006408A0" w:rsidRPr="00321CBD" w:rsidRDefault="00C778B6" w:rsidP="006408A0">
            <w:pPr>
              <w:spacing w:line="36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Tabula 11. Pacienš</w:t>
            </w:r>
            <w:r w:rsidR="006408A0" w:rsidRPr="00321CBD">
              <w:rPr>
                <w:rFonts w:ascii="Times New Roman" w:hAnsi="Times New Roman" w:cs="Times New Roman"/>
                <w:b/>
                <w:sz w:val="24"/>
                <w:szCs w:val="24"/>
                <w:lang w:val="lv-LV"/>
              </w:rPr>
              <w:t xml:space="preserve">u svara salīdzinājums attiecībā uz </w:t>
            </w:r>
            <w:r w:rsidR="00660FAE" w:rsidRPr="00321CBD">
              <w:rPr>
                <w:rFonts w:ascii="Times New Roman" w:hAnsi="Times New Roman" w:cs="Times New Roman"/>
                <w:b/>
                <w:sz w:val="24"/>
                <w:szCs w:val="24"/>
                <w:lang w:val="lv-LV"/>
              </w:rPr>
              <w:t>sūdzībām</w:t>
            </w:r>
            <w:r w:rsidR="006408A0" w:rsidRPr="00321CBD">
              <w:rPr>
                <w:rFonts w:ascii="Times New Roman" w:hAnsi="Times New Roman" w:cs="Times New Roman"/>
                <w:b/>
                <w:sz w:val="24"/>
                <w:szCs w:val="24"/>
                <w:lang w:val="lv-LV"/>
              </w:rPr>
              <w:t xml:space="preserve"> par asiņošanu</w:t>
            </w:r>
          </w:p>
        </w:tc>
      </w:tr>
      <w:tr w:rsidR="006408A0" w:rsidRPr="00321CBD" w14:paraId="14CF6E83" w14:textId="77777777" w:rsidTr="0088363B">
        <w:trPr>
          <w:gridAfter w:val="1"/>
          <w:wAfter w:w="1007" w:type="dxa"/>
        </w:trPr>
        <w:tc>
          <w:tcPr>
            <w:tcW w:w="3227" w:type="dxa"/>
            <w:tcBorders>
              <w:top w:val="single" w:sz="24" w:space="0" w:color="009900"/>
              <w:left w:val="nil"/>
              <w:bottom w:val="nil"/>
              <w:right w:val="nil"/>
            </w:tcBorders>
          </w:tcPr>
          <w:p w14:paraId="1B968F6D" w14:textId="77777777" w:rsidR="006408A0" w:rsidRPr="00321CBD" w:rsidRDefault="006408A0" w:rsidP="0088363B">
            <w:pPr>
              <w:spacing w:line="360" w:lineRule="auto"/>
              <w:jc w:val="both"/>
              <w:rPr>
                <w:rFonts w:ascii="Times New Roman" w:hAnsi="Times New Roman" w:cs="Times New Roman"/>
                <w:sz w:val="24"/>
                <w:szCs w:val="24"/>
                <w:lang w:val="lv-LV"/>
              </w:rPr>
            </w:pPr>
          </w:p>
        </w:tc>
        <w:tc>
          <w:tcPr>
            <w:tcW w:w="2835" w:type="dxa"/>
            <w:tcBorders>
              <w:top w:val="single" w:sz="18" w:space="0" w:color="009900"/>
              <w:left w:val="nil"/>
              <w:bottom w:val="nil"/>
              <w:right w:val="nil"/>
            </w:tcBorders>
          </w:tcPr>
          <w:p w14:paraId="7A08F986" w14:textId="77777777" w:rsidR="006408A0" w:rsidRPr="00321CBD" w:rsidRDefault="006408A0"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Normāls svars</w:t>
            </w:r>
          </w:p>
        </w:tc>
        <w:tc>
          <w:tcPr>
            <w:tcW w:w="2551" w:type="dxa"/>
            <w:tcBorders>
              <w:top w:val="single" w:sz="18" w:space="0" w:color="009900"/>
              <w:left w:val="nil"/>
              <w:bottom w:val="nil"/>
              <w:right w:val="nil"/>
            </w:tcBorders>
          </w:tcPr>
          <w:p w14:paraId="45597AF9" w14:textId="77777777" w:rsidR="006408A0" w:rsidRPr="00321CBD" w:rsidRDefault="006408A0"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Palielināts svars</w:t>
            </w:r>
          </w:p>
        </w:tc>
      </w:tr>
      <w:tr w:rsidR="006408A0" w:rsidRPr="00321CBD" w14:paraId="24A370B9" w14:textId="77777777" w:rsidTr="0088363B">
        <w:trPr>
          <w:gridAfter w:val="1"/>
          <w:wAfter w:w="1007" w:type="dxa"/>
        </w:trPr>
        <w:tc>
          <w:tcPr>
            <w:tcW w:w="3227" w:type="dxa"/>
            <w:tcBorders>
              <w:top w:val="nil"/>
              <w:left w:val="nil"/>
              <w:bottom w:val="nil"/>
              <w:right w:val="nil"/>
            </w:tcBorders>
          </w:tcPr>
          <w:p w14:paraId="74CF5913" w14:textId="54A9FF2A" w:rsidR="006408A0" w:rsidRPr="00321CBD" w:rsidRDefault="00660FAE"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Sūdzas</w:t>
            </w:r>
            <w:r w:rsidR="006408A0" w:rsidRPr="00321CBD">
              <w:rPr>
                <w:rFonts w:ascii="Times New Roman" w:hAnsi="Times New Roman" w:cs="Times New Roman"/>
                <w:b/>
                <w:sz w:val="24"/>
                <w:szCs w:val="24"/>
                <w:lang w:val="lv-LV"/>
              </w:rPr>
              <w:t xml:space="preserve"> par asiņošanu</w:t>
            </w:r>
          </w:p>
        </w:tc>
        <w:tc>
          <w:tcPr>
            <w:tcW w:w="2835" w:type="dxa"/>
            <w:tcBorders>
              <w:top w:val="nil"/>
              <w:left w:val="nil"/>
              <w:bottom w:val="nil"/>
              <w:right w:val="nil"/>
            </w:tcBorders>
          </w:tcPr>
          <w:p w14:paraId="519924AA" w14:textId="77777777" w:rsidR="006408A0" w:rsidRPr="00321CBD" w:rsidRDefault="006408A0" w:rsidP="006408A0">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13(52%)</w:t>
            </w:r>
          </w:p>
        </w:tc>
        <w:tc>
          <w:tcPr>
            <w:tcW w:w="2551" w:type="dxa"/>
            <w:tcBorders>
              <w:top w:val="nil"/>
              <w:left w:val="nil"/>
              <w:bottom w:val="nil"/>
              <w:right w:val="nil"/>
            </w:tcBorders>
          </w:tcPr>
          <w:p w14:paraId="7B2063D9" w14:textId="77777777" w:rsidR="006408A0" w:rsidRPr="00321CBD" w:rsidRDefault="006408A0"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12(48%)</w:t>
            </w:r>
          </w:p>
        </w:tc>
      </w:tr>
      <w:tr w:rsidR="006408A0" w:rsidRPr="00321CBD" w14:paraId="45752867" w14:textId="77777777" w:rsidTr="0088363B">
        <w:tc>
          <w:tcPr>
            <w:tcW w:w="9620" w:type="dxa"/>
            <w:gridSpan w:val="4"/>
            <w:tcBorders>
              <w:top w:val="single" w:sz="18" w:space="0" w:color="009900"/>
              <w:left w:val="nil"/>
              <w:bottom w:val="nil"/>
              <w:right w:val="nil"/>
            </w:tcBorders>
          </w:tcPr>
          <w:p w14:paraId="2D282A79" w14:textId="77777777" w:rsidR="006408A0" w:rsidRPr="00321CBD" w:rsidRDefault="006408A0" w:rsidP="0088363B">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w:t>
            </w:r>
            <w:r w:rsidRPr="00321CBD">
              <w:rPr>
                <w:rFonts w:ascii="Times New Roman" w:hAnsi="Times New Roman" w:cs="Times New Roman"/>
                <w:i/>
                <w:sz w:val="24"/>
                <w:szCs w:val="24"/>
                <w:lang w:val="lv-LV"/>
              </w:rPr>
              <w:t>p&gt;0,05</w:t>
            </w:r>
          </w:p>
          <w:p w14:paraId="78F21F72" w14:textId="77777777" w:rsidR="006408A0" w:rsidRPr="00321CBD" w:rsidRDefault="006408A0" w:rsidP="0088363B">
            <w:pPr>
              <w:spacing w:line="360" w:lineRule="auto"/>
              <w:jc w:val="both"/>
              <w:rPr>
                <w:rFonts w:ascii="Times New Roman" w:hAnsi="Times New Roman" w:cs="Times New Roman"/>
                <w:sz w:val="24"/>
                <w:szCs w:val="24"/>
                <w:lang w:val="lv-LV"/>
              </w:rPr>
            </w:pPr>
          </w:p>
          <w:p w14:paraId="7BAD6128" w14:textId="77777777" w:rsidR="006408A0" w:rsidRPr="00321CBD" w:rsidRDefault="006408A0" w:rsidP="0088363B">
            <w:pPr>
              <w:spacing w:line="360" w:lineRule="auto"/>
              <w:jc w:val="both"/>
              <w:rPr>
                <w:rFonts w:ascii="Times New Roman" w:hAnsi="Times New Roman" w:cs="Times New Roman"/>
                <w:sz w:val="24"/>
                <w:szCs w:val="24"/>
                <w:lang w:val="lv-LV"/>
              </w:rPr>
            </w:pPr>
          </w:p>
        </w:tc>
      </w:tr>
    </w:tbl>
    <w:p w14:paraId="3A9BCE69" w14:textId="77777777" w:rsidR="006408A0" w:rsidRPr="00321CBD" w:rsidRDefault="00E54716" w:rsidP="00222FE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Hiperplāzijas diagnostika</w:t>
      </w:r>
    </w:p>
    <w:p w14:paraId="064A6791" w14:textId="717FCD34" w:rsidR="00E54716" w:rsidRPr="00321CBD" w:rsidRDefault="00E54716"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No 172 gadījumiem 35 histoloģiski tika verificēta hiperplāzija. Tikai 13 gadījumos (37,1%) tā bija </w:t>
      </w:r>
      <w:r w:rsidR="00660FAE">
        <w:rPr>
          <w:rFonts w:ascii="Times New Roman" w:hAnsi="Times New Roman" w:cs="Times New Roman"/>
          <w:sz w:val="24"/>
          <w:szCs w:val="24"/>
          <w:lang w:val="lv-LV"/>
        </w:rPr>
        <w:t>novērota</w:t>
      </w:r>
      <w:r w:rsidR="00660FAE"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ar US metodi. 22 gadījumi bija viltus negatīvi</w:t>
      </w:r>
      <w:r w:rsidR="00660FAE">
        <w:rPr>
          <w:rFonts w:ascii="Times New Roman" w:hAnsi="Times New Roman" w:cs="Times New Roman"/>
          <w:sz w:val="24"/>
          <w:szCs w:val="24"/>
          <w:lang w:val="lv-LV"/>
        </w:rPr>
        <w:t>, s</w:t>
      </w:r>
      <w:r w:rsidR="00407DCC" w:rsidRPr="00321CBD">
        <w:rPr>
          <w:rFonts w:ascii="Times New Roman" w:hAnsi="Times New Roman" w:cs="Times New Roman"/>
          <w:sz w:val="24"/>
          <w:szCs w:val="24"/>
          <w:lang w:val="lv-LV"/>
        </w:rPr>
        <w:t xml:space="preserve">avukārt viltus pozitīvi bija 15 gadījumi un patiesi negatīvi bija 122 gadījumi. Sensitivitāte </w:t>
      </w:r>
      <w:r w:rsidR="00660FAE" w:rsidRPr="00321CBD">
        <w:rPr>
          <w:rFonts w:ascii="Times New Roman" w:hAnsi="Times New Roman" w:cs="Times New Roman"/>
          <w:sz w:val="24"/>
          <w:szCs w:val="24"/>
          <w:lang w:val="lv-LV"/>
        </w:rPr>
        <w:t>sastādīja</w:t>
      </w:r>
      <w:r w:rsidR="00407DCC" w:rsidRPr="00321CBD">
        <w:rPr>
          <w:rFonts w:ascii="Times New Roman" w:hAnsi="Times New Roman" w:cs="Times New Roman"/>
          <w:sz w:val="24"/>
          <w:szCs w:val="24"/>
          <w:lang w:val="lv-LV"/>
        </w:rPr>
        <w:t xml:space="preserve"> 37,14%, </w:t>
      </w:r>
      <w:r w:rsidR="00660FAE">
        <w:rPr>
          <w:rFonts w:ascii="Times New Roman" w:hAnsi="Times New Roman" w:cs="Times New Roman"/>
          <w:sz w:val="24"/>
          <w:szCs w:val="24"/>
          <w:lang w:val="lv-LV"/>
        </w:rPr>
        <w:t>s</w:t>
      </w:r>
      <w:r w:rsidR="00407DCC" w:rsidRPr="00321CBD">
        <w:rPr>
          <w:rFonts w:ascii="Times New Roman" w:hAnsi="Times New Roman" w:cs="Times New Roman"/>
          <w:sz w:val="24"/>
          <w:szCs w:val="24"/>
          <w:lang w:val="lv-LV"/>
        </w:rPr>
        <w:t xml:space="preserve">pecifitāte 89,05%, </w:t>
      </w:r>
      <w:r w:rsidR="00660FAE">
        <w:rPr>
          <w:rFonts w:ascii="Times New Roman" w:hAnsi="Times New Roman" w:cs="Times New Roman"/>
          <w:sz w:val="24"/>
          <w:szCs w:val="24"/>
          <w:lang w:val="lv-LV"/>
        </w:rPr>
        <w:t>p</w:t>
      </w:r>
      <w:r w:rsidR="00407DCC" w:rsidRPr="00321CBD">
        <w:rPr>
          <w:rFonts w:ascii="Times New Roman" w:hAnsi="Times New Roman" w:cs="Times New Roman"/>
          <w:sz w:val="24"/>
          <w:szCs w:val="24"/>
          <w:lang w:val="lv-LV"/>
        </w:rPr>
        <w:t xml:space="preserve">ozitīva paredzama vērtība </w:t>
      </w:r>
      <w:r w:rsidR="004961F7" w:rsidRPr="00321CBD">
        <w:rPr>
          <w:rFonts w:ascii="Times New Roman" w:hAnsi="Times New Roman" w:cs="Times New Roman"/>
          <w:sz w:val="24"/>
          <w:szCs w:val="24"/>
          <w:lang w:val="lv-LV"/>
        </w:rPr>
        <w:t>46,43</w:t>
      </w:r>
      <w:r w:rsidR="00407DCC" w:rsidRPr="00321CBD">
        <w:rPr>
          <w:rFonts w:ascii="Times New Roman" w:hAnsi="Times New Roman" w:cs="Times New Roman"/>
          <w:sz w:val="24"/>
          <w:szCs w:val="24"/>
          <w:lang w:val="lv-LV"/>
        </w:rPr>
        <w:t xml:space="preserve">%, </w:t>
      </w:r>
      <w:r w:rsidR="00660FAE">
        <w:rPr>
          <w:rFonts w:ascii="Times New Roman" w:hAnsi="Times New Roman" w:cs="Times New Roman"/>
          <w:sz w:val="24"/>
          <w:szCs w:val="24"/>
          <w:lang w:val="lv-LV"/>
        </w:rPr>
        <w:t>n</w:t>
      </w:r>
      <w:r w:rsidR="00407DCC" w:rsidRPr="00321CBD">
        <w:rPr>
          <w:rFonts w:ascii="Times New Roman" w:hAnsi="Times New Roman" w:cs="Times New Roman"/>
          <w:sz w:val="24"/>
          <w:szCs w:val="24"/>
          <w:lang w:val="lv-LV"/>
        </w:rPr>
        <w:t xml:space="preserve">egatīva paredzama vērtība 84,72%. </w:t>
      </w:r>
    </w:p>
    <w:p w14:paraId="6F73DBD9" w14:textId="07C2481B" w:rsidR="00407DCC" w:rsidRPr="00321CBD" w:rsidRDefault="00407DCC"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Ar histerorezektoskopijas metodi no 35 hiperplāzijas gadījumiem pareizi bija diagnosticēti 25 (71,4%). 10 gadījumi bija viltus negatīvi</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5 gadījumi bija viltus pozitīvi un 132 patiesi negatīvi. Attiecībā uz histerorezektoskopiju </w:t>
      </w:r>
      <w:r w:rsidR="00660FAE">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ensitivitāte </w:t>
      </w:r>
      <w:r w:rsidR="00660FAE"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71,43%, </w:t>
      </w:r>
      <w:r w:rsidR="00660FAE">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pecifitāte </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96,35%, </w:t>
      </w:r>
      <w:r w:rsidR="00660FAE">
        <w:rPr>
          <w:rFonts w:ascii="Times New Roman" w:hAnsi="Times New Roman" w:cs="Times New Roman"/>
          <w:sz w:val="24"/>
          <w:szCs w:val="24"/>
          <w:lang w:val="lv-LV"/>
        </w:rPr>
        <w:t>p</w:t>
      </w:r>
      <w:r w:rsidRPr="00321CBD">
        <w:rPr>
          <w:rFonts w:ascii="Times New Roman" w:hAnsi="Times New Roman" w:cs="Times New Roman"/>
          <w:sz w:val="24"/>
          <w:szCs w:val="24"/>
          <w:lang w:val="lv-LV"/>
        </w:rPr>
        <w:t>ozitīva paredzama vērtība</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 83,33% un </w:t>
      </w:r>
      <w:r w:rsidR="00660FAE">
        <w:rPr>
          <w:rFonts w:ascii="Times New Roman" w:hAnsi="Times New Roman" w:cs="Times New Roman"/>
          <w:sz w:val="24"/>
          <w:szCs w:val="24"/>
          <w:lang w:val="lv-LV"/>
        </w:rPr>
        <w:t>n</w:t>
      </w:r>
      <w:r w:rsidRPr="00321CBD">
        <w:rPr>
          <w:rFonts w:ascii="Times New Roman" w:hAnsi="Times New Roman" w:cs="Times New Roman"/>
          <w:sz w:val="24"/>
          <w:szCs w:val="24"/>
          <w:lang w:val="lv-LV"/>
        </w:rPr>
        <w:t>egatīva paredzama vērtība</w:t>
      </w:r>
      <w:r w:rsidR="00660FAE">
        <w:rPr>
          <w:rFonts w:ascii="Times New Roman" w:hAnsi="Times New Roman" w:cs="Times New Roman"/>
          <w:sz w:val="24"/>
          <w:szCs w:val="24"/>
          <w:lang w:val="lv-LV"/>
        </w:rPr>
        <w:t xml:space="preserve"> - </w:t>
      </w:r>
      <w:r w:rsidRPr="00321CBD">
        <w:rPr>
          <w:rFonts w:ascii="Times New Roman" w:hAnsi="Times New Roman" w:cs="Times New Roman"/>
          <w:sz w:val="24"/>
          <w:szCs w:val="24"/>
          <w:lang w:val="lv-LV"/>
        </w:rPr>
        <w:t>92,96%. Metožu salīdzinājums redzams Tabulā</w:t>
      </w:r>
      <w:r w:rsidR="00660FAE">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12.</w:t>
      </w:r>
    </w:p>
    <w:tbl>
      <w:tblPr>
        <w:tblStyle w:val="TableGrid"/>
        <w:tblW w:w="0" w:type="auto"/>
        <w:tblLayout w:type="fixed"/>
        <w:tblLook w:val="04A0" w:firstRow="1" w:lastRow="0" w:firstColumn="1" w:lastColumn="0" w:noHBand="0" w:noVBand="1"/>
      </w:tblPr>
      <w:tblGrid>
        <w:gridCol w:w="3227"/>
        <w:gridCol w:w="2835"/>
        <w:gridCol w:w="2551"/>
        <w:gridCol w:w="1007"/>
      </w:tblGrid>
      <w:tr w:rsidR="00407DCC" w:rsidRPr="00090782" w14:paraId="281BBBB6" w14:textId="77777777" w:rsidTr="0088363B">
        <w:tc>
          <w:tcPr>
            <w:tcW w:w="9620" w:type="dxa"/>
            <w:gridSpan w:val="4"/>
            <w:tcBorders>
              <w:top w:val="single" w:sz="24" w:space="0" w:color="009900"/>
              <w:left w:val="nil"/>
              <w:bottom w:val="single" w:sz="24" w:space="0" w:color="009900"/>
              <w:right w:val="nil"/>
            </w:tcBorders>
          </w:tcPr>
          <w:p w14:paraId="4AC5FA2F" w14:textId="77777777" w:rsidR="00407DCC" w:rsidRPr="00321CBD" w:rsidRDefault="00407DCC" w:rsidP="004961F7">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 xml:space="preserve">Tabula </w:t>
            </w:r>
            <w:r w:rsidR="004961F7" w:rsidRPr="00321CBD">
              <w:rPr>
                <w:rFonts w:ascii="Times New Roman" w:hAnsi="Times New Roman" w:cs="Times New Roman"/>
                <w:b/>
                <w:sz w:val="24"/>
                <w:szCs w:val="24"/>
                <w:lang w:val="lv-LV"/>
              </w:rPr>
              <w:t>12</w:t>
            </w:r>
            <w:r w:rsidRPr="00321CBD">
              <w:rPr>
                <w:rFonts w:ascii="Times New Roman" w:hAnsi="Times New Roman" w:cs="Times New Roman"/>
                <w:b/>
                <w:sz w:val="24"/>
                <w:szCs w:val="24"/>
                <w:lang w:val="lv-LV"/>
              </w:rPr>
              <w:t xml:space="preserve">. Ultrasonogrāfijas un histerorezektoskopijas metožu diagnostiskās vērtības salīdzinājums attiecībā uz </w:t>
            </w:r>
            <w:r w:rsidR="004961F7" w:rsidRPr="00321CBD">
              <w:rPr>
                <w:rFonts w:ascii="Times New Roman" w:hAnsi="Times New Roman" w:cs="Times New Roman"/>
                <w:b/>
                <w:sz w:val="24"/>
                <w:szCs w:val="24"/>
                <w:lang w:val="lv-LV"/>
              </w:rPr>
              <w:t>endometrija hiperplāziju</w:t>
            </w:r>
          </w:p>
        </w:tc>
      </w:tr>
      <w:tr w:rsidR="00407DCC" w:rsidRPr="00321CBD" w14:paraId="7002A15A" w14:textId="77777777" w:rsidTr="0088363B">
        <w:trPr>
          <w:gridAfter w:val="1"/>
          <w:wAfter w:w="1007" w:type="dxa"/>
        </w:trPr>
        <w:tc>
          <w:tcPr>
            <w:tcW w:w="3227" w:type="dxa"/>
            <w:tcBorders>
              <w:top w:val="single" w:sz="24" w:space="0" w:color="009900"/>
              <w:left w:val="nil"/>
              <w:bottom w:val="nil"/>
              <w:right w:val="nil"/>
            </w:tcBorders>
          </w:tcPr>
          <w:p w14:paraId="4AFCF867" w14:textId="77777777" w:rsidR="00407DCC" w:rsidRPr="00321CBD" w:rsidRDefault="00407DCC" w:rsidP="0088363B">
            <w:pPr>
              <w:spacing w:line="360" w:lineRule="auto"/>
              <w:jc w:val="both"/>
              <w:rPr>
                <w:rFonts w:ascii="Times New Roman" w:hAnsi="Times New Roman" w:cs="Times New Roman"/>
                <w:sz w:val="24"/>
                <w:szCs w:val="24"/>
                <w:lang w:val="lv-LV"/>
              </w:rPr>
            </w:pPr>
          </w:p>
        </w:tc>
        <w:tc>
          <w:tcPr>
            <w:tcW w:w="2835" w:type="dxa"/>
            <w:tcBorders>
              <w:top w:val="single" w:sz="18" w:space="0" w:color="009900"/>
              <w:left w:val="nil"/>
              <w:bottom w:val="nil"/>
              <w:right w:val="nil"/>
            </w:tcBorders>
          </w:tcPr>
          <w:p w14:paraId="65D2659A" w14:textId="77777777" w:rsidR="00407DCC" w:rsidRPr="00321CBD" w:rsidRDefault="00407DCC"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Ultrasonogrāfija</w:t>
            </w:r>
          </w:p>
        </w:tc>
        <w:tc>
          <w:tcPr>
            <w:tcW w:w="2551" w:type="dxa"/>
            <w:tcBorders>
              <w:top w:val="single" w:sz="18" w:space="0" w:color="009900"/>
              <w:left w:val="nil"/>
              <w:bottom w:val="nil"/>
              <w:right w:val="nil"/>
            </w:tcBorders>
          </w:tcPr>
          <w:p w14:paraId="5390AB26" w14:textId="77777777" w:rsidR="00407DCC" w:rsidRPr="00321CBD" w:rsidRDefault="00407DCC" w:rsidP="0088363B">
            <w:pPr>
              <w:spacing w:line="360" w:lineRule="auto"/>
              <w:jc w:val="center"/>
              <w:rPr>
                <w:rFonts w:ascii="Times New Roman" w:hAnsi="Times New Roman" w:cs="Times New Roman"/>
                <w:b/>
                <w:sz w:val="24"/>
                <w:szCs w:val="24"/>
                <w:lang w:val="lv-LV"/>
              </w:rPr>
            </w:pPr>
            <w:r w:rsidRPr="00321CBD">
              <w:rPr>
                <w:rFonts w:ascii="Times New Roman" w:hAnsi="Times New Roman" w:cs="Times New Roman"/>
                <w:b/>
                <w:sz w:val="24"/>
                <w:szCs w:val="24"/>
                <w:lang w:val="lv-LV"/>
              </w:rPr>
              <w:t>Histerorezektoskoija</w:t>
            </w:r>
          </w:p>
        </w:tc>
      </w:tr>
      <w:tr w:rsidR="00407DCC" w:rsidRPr="00321CBD" w14:paraId="6AEE846E" w14:textId="77777777" w:rsidTr="0088363B">
        <w:trPr>
          <w:gridAfter w:val="1"/>
          <w:wAfter w:w="1007" w:type="dxa"/>
        </w:trPr>
        <w:tc>
          <w:tcPr>
            <w:tcW w:w="3227" w:type="dxa"/>
            <w:tcBorders>
              <w:top w:val="nil"/>
              <w:left w:val="nil"/>
              <w:bottom w:val="nil"/>
              <w:right w:val="nil"/>
            </w:tcBorders>
          </w:tcPr>
          <w:p w14:paraId="2FF4DDA7" w14:textId="77777777" w:rsidR="00407DCC" w:rsidRPr="00321CBD" w:rsidRDefault="00407DCC"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Sensitivitāte</w:t>
            </w:r>
          </w:p>
        </w:tc>
        <w:tc>
          <w:tcPr>
            <w:tcW w:w="2835" w:type="dxa"/>
            <w:tcBorders>
              <w:top w:val="nil"/>
              <w:left w:val="nil"/>
              <w:bottom w:val="nil"/>
              <w:right w:val="nil"/>
            </w:tcBorders>
          </w:tcPr>
          <w:p w14:paraId="5FE80F21"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37,14%</w:t>
            </w:r>
          </w:p>
        </w:tc>
        <w:tc>
          <w:tcPr>
            <w:tcW w:w="2551" w:type="dxa"/>
            <w:tcBorders>
              <w:top w:val="nil"/>
              <w:left w:val="nil"/>
              <w:bottom w:val="nil"/>
              <w:right w:val="nil"/>
            </w:tcBorders>
          </w:tcPr>
          <w:p w14:paraId="64995F6B"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71,43%</w:t>
            </w:r>
          </w:p>
        </w:tc>
      </w:tr>
      <w:tr w:rsidR="00407DCC" w:rsidRPr="00321CBD" w14:paraId="173A7F93" w14:textId="77777777" w:rsidTr="0088363B">
        <w:trPr>
          <w:gridAfter w:val="1"/>
          <w:wAfter w:w="1007" w:type="dxa"/>
        </w:trPr>
        <w:tc>
          <w:tcPr>
            <w:tcW w:w="3227" w:type="dxa"/>
            <w:tcBorders>
              <w:top w:val="nil"/>
              <w:left w:val="nil"/>
              <w:bottom w:val="nil"/>
              <w:right w:val="nil"/>
            </w:tcBorders>
          </w:tcPr>
          <w:p w14:paraId="5B5B53C4" w14:textId="77777777" w:rsidR="00407DCC" w:rsidRPr="00321CBD" w:rsidRDefault="00407DCC"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Specifitāte</w:t>
            </w:r>
          </w:p>
        </w:tc>
        <w:tc>
          <w:tcPr>
            <w:tcW w:w="2835" w:type="dxa"/>
            <w:tcBorders>
              <w:top w:val="nil"/>
              <w:left w:val="nil"/>
              <w:bottom w:val="nil"/>
              <w:right w:val="nil"/>
            </w:tcBorders>
          </w:tcPr>
          <w:p w14:paraId="59A95DF1"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89,05%</w:t>
            </w:r>
          </w:p>
        </w:tc>
        <w:tc>
          <w:tcPr>
            <w:tcW w:w="2551" w:type="dxa"/>
            <w:tcBorders>
              <w:top w:val="nil"/>
              <w:left w:val="nil"/>
              <w:bottom w:val="nil"/>
              <w:right w:val="nil"/>
            </w:tcBorders>
          </w:tcPr>
          <w:p w14:paraId="5185DB4A"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96,35%</w:t>
            </w:r>
          </w:p>
        </w:tc>
      </w:tr>
      <w:tr w:rsidR="00407DCC" w:rsidRPr="00321CBD" w14:paraId="3ED854FF" w14:textId="77777777" w:rsidTr="0088363B">
        <w:trPr>
          <w:gridAfter w:val="1"/>
          <w:wAfter w:w="1007" w:type="dxa"/>
        </w:trPr>
        <w:tc>
          <w:tcPr>
            <w:tcW w:w="3227" w:type="dxa"/>
            <w:tcBorders>
              <w:top w:val="nil"/>
              <w:left w:val="nil"/>
              <w:bottom w:val="nil"/>
              <w:right w:val="nil"/>
            </w:tcBorders>
          </w:tcPr>
          <w:p w14:paraId="3A3CEE23" w14:textId="77777777" w:rsidR="00407DCC" w:rsidRPr="00321CBD" w:rsidRDefault="00407DCC"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Pozitīva paredzama vērtība</w:t>
            </w:r>
          </w:p>
        </w:tc>
        <w:tc>
          <w:tcPr>
            <w:tcW w:w="2835" w:type="dxa"/>
            <w:tcBorders>
              <w:top w:val="nil"/>
              <w:left w:val="nil"/>
              <w:bottom w:val="nil"/>
              <w:right w:val="nil"/>
            </w:tcBorders>
          </w:tcPr>
          <w:p w14:paraId="4E889659"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46,43%</w:t>
            </w:r>
          </w:p>
        </w:tc>
        <w:tc>
          <w:tcPr>
            <w:tcW w:w="2551" w:type="dxa"/>
            <w:tcBorders>
              <w:top w:val="nil"/>
              <w:left w:val="nil"/>
              <w:bottom w:val="nil"/>
              <w:right w:val="nil"/>
            </w:tcBorders>
          </w:tcPr>
          <w:p w14:paraId="68FCA1CE"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83,33%</w:t>
            </w:r>
          </w:p>
        </w:tc>
      </w:tr>
      <w:tr w:rsidR="00407DCC" w:rsidRPr="00321CBD" w14:paraId="0330642E" w14:textId="77777777" w:rsidTr="0088363B">
        <w:trPr>
          <w:gridAfter w:val="1"/>
          <w:wAfter w:w="1007" w:type="dxa"/>
        </w:trPr>
        <w:tc>
          <w:tcPr>
            <w:tcW w:w="3227" w:type="dxa"/>
            <w:tcBorders>
              <w:top w:val="nil"/>
              <w:left w:val="nil"/>
              <w:bottom w:val="nil"/>
              <w:right w:val="nil"/>
            </w:tcBorders>
          </w:tcPr>
          <w:p w14:paraId="0C418977" w14:textId="77777777" w:rsidR="00407DCC" w:rsidRPr="00321CBD" w:rsidRDefault="00407DCC" w:rsidP="0088363B">
            <w:pPr>
              <w:spacing w:line="360" w:lineRule="auto"/>
              <w:rPr>
                <w:rFonts w:ascii="Times New Roman" w:hAnsi="Times New Roman" w:cs="Times New Roman"/>
                <w:b/>
                <w:sz w:val="24"/>
                <w:szCs w:val="24"/>
                <w:lang w:val="lv-LV"/>
              </w:rPr>
            </w:pPr>
            <w:r w:rsidRPr="00321CBD">
              <w:rPr>
                <w:rFonts w:ascii="Times New Roman" w:hAnsi="Times New Roman" w:cs="Times New Roman"/>
                <w:b/>
                <w:sz w:val="24"/>
                <w:szCs w:val="24"/>
                <w:lang w:val="lv-LV"/>
              </w:rPr>
              <w:t>Negatīva paredzama vērtība</w:t>
            </w:r>
          </w:p>
        </w:tc>
        <w:tc>
          <w:tcPr>
            <w:tcW w:w="2835" w:type="dxa"/>
            <w:tcBorders>
              <w:top w:val="nil"/>
              <w:left w:val="nil"/>
              <w:bottom w:val="nil"/>
              <w:right w:val="nil"/>
            </w:tcBorders>
          </w:tcPr>
          <w:p w14:paraId="49435101"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84,72%</w:t>
            </w:r>
          </w:p>
        </w:tc>
        <w:tc>
          <w:tcPr>
            <w:tcW w:w="2551" w:type="dxa"/>
            <w:tcBorders>
              <w:top w:val="nil"/>
              <w:left w:val="nil"/>
              <w:bottom w:val="nil"/>
              <w:right w:val="nil"/>
            </w:tcBorders>
          </w:tcPr>
          <w:p w14:paraId="368764BC" w14:textId="77777777" w:rsidR="00407DCC" w:rsidRPr="00321CBD" w:rsidRDefault="004961F7" w:rsidP="0088363B">
            <w:pPr>
              <w:spacing w:line="360" w:lineRule="auto"/>
              <w:jc w:val="center"/>
              <w:rPr>
                <w:rFonts w:ascii="Times New Roman" w:hAnsi="Times New Roman" w:cs="Times New Roman"/>
                <w:sz w:val="24"/>
                <w:szCs w:val="24"/>
                <w:lang w:val="lv-LV"/>
              </w:rPr>
            </w:pPr>
            <w:r w:rsidRPr="00321CBD">
              <w:rPr>
                <w:rFonts w:ascii="Times New Roman" w:hAnsi="Times New Roman" w:cs="Times New Roman"/>
                <w:sz w:val="24"/>
                <w:szCs w:val="24"/>
                <w:lang w:val="lv-LV"/>
              </w:rPr>
              <w:t>92,96%</w:t>
            </w:r>
          </w:p>
        </w:tc>
      </w:tr>
      <w:tr w:rsidR="00407DCC" w:rsidRPr="00321CBD" w14:paraId="48952E04" w14:textId="77777777" w:rsidTr="0088363B">
        <w:tc>
          <w:tcPr>
            <w:tcW w:w="9620" w:type="dxa"/>
            <w:gridSpan w:val="4"/>
            <w:tcBorders>
              <w:top w:val="single" w:sz="18" w:space="0" w:color="009900"/>
              <w:left w:val="nil"/>
              <w:bottom w:val="nil"/>
              <w:right w:val="nil"/>
            </w:tcBorders>
          </w:tcPr>
          <w:p w14:paraId="727FF10E" w14:textId="5B41CBE8" w:rsidR="00407DCC" w:rsidRPr="00321CBD" w:rsidRDefault="005634D3" w:rsidP="0088363B">
            <w:p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*Ne</w:t>
            </w:r>
            <w:r w:rsidR="00407DCC" w:rsidRPr="00321CBD">
              <w:rPr>
                <w:rFonts w:ascii="Times New Roman" w:hAnsi="Times New Roman" w:cs="Times New Roman"/>
                <w:sz w:val="24"/>
                <w:szCs w:val="24"/>
                <w:lang w:val="lv-LV"/>
              </w:rPr>
              <w:t xml:space="preserve">vienai pacientei netika veikta </w:t>
            </w:r>
            <w:r w:rsidRPr="00321CBD">
              <w:rPr>
                <w:rFonts w:ascii="Times New Roman" w:hAnsi="Times New Roman" w:cs="Times New Roman"/>
                <w:sz w:val="24"/>
                <w:szCs w:val="24"/>
                <w:lang w:val="lv-LV"/>
              </w:rPr>
              <w:t>šķidruma sonohisterogrāfija</w:t>
            </w:r>
            <w:r w:rsidR="00407DCC" w:rsidRPr="00321CBD">
              <w:rPr>
                <w:rFonts w:ascii="Times New Roman" w:hAnsi="Times New Roman" w:cs="Times New Roman"/>
                <w:sz w:val="24"/>
                <w:szCs w:val="24"/>
                <w:lang w:val="lv-LV"/>
              </w:rPr>
              <w:t>, vai arī nav datu par to.</w:t>
            </w:r>
          </w:p>
          <w:p w14:paraId="314F96B5" w14:textId="77777777" w:rsidR="00407DCC" w:rsidRPr="00321CBD" w:rsidRDefault="00407DCC" w:rsidP="0088363B">
            <w:pPr>
              <w:spacing w:line="360" w:lineRule="auto"/>
              <w:jc w:val="both"/>
              <w:rPr>
                <w:rFonts w:ascii="Times New Roman" w:hAnsi="Times New Roman" w:cs="Times New Roman"/>
                <w:sz w:val="24"/>
                <w:szCs w:val="24"/>
                <w:lang w:val="lv-LV"/>
              </w:rPr>
            </w:pPr>
          </w:p>
          <w:p w14:paraId="55556875" w14:textId="77777777" w:rsidR="00407DCC" w:rsidRPr="00321CBD" w:rsidRDefault="00407DCC" w:rsidP="0088363B">
            <w:pPr>
              <w:spacing w:line="360" w:lineRule="auto"/>
              <w:jc w:val="both"/>
              <w:rPr>
                <w:rFonts w:ascii="Times New Roman" w:hAnsi="Times New Roman" w:cs="Times New Roman"/>
                <w:sz w:val="24"/>
                <w:szCs w:val="24"/>
                <w:lang w:val="lv-LV"/>
              </w:rPr>
            </w:pPr>
          </w:p>
        </w:tc>
      </w:tr>
    </w:tbl>
    <w:p w14:paraId="1E131D4E" w14:textId="68A6B597" w:rsidR="00A40A7E" w:rsidRPr="00321CBD" w:rsidRDefault="008401C1"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lastRenderedPageBreak/>
        <w:t xml:space="preserve"> 50% gadījumos, kad hiperplāzija ar US </w:t>
      </w:r>
      <w:r w:rsidR="00A40A7E" w:rsidRPr="00321CBD">
        <w:rPr>
          <w:rFonts w:ascii="Times New Roman" w:hAnsi="Times New Roman" w:cs="Times New Roman"/>
          <w:sz w:val="24"/>
          <w:szCs w:val="24"/>
          <w:lang w:val="lv-LV"/>
        </w:rPr>
        <w:t>metodi netika diagnosticēta, tās histoloģiska uzbūve bija “p</w:t>
      </w:r>
      <w:r w:rsidR="0083698A">
        <w:rPr>
          <w:rFonts w:ascii="Times New Roman" w:hAnsi="Times New Roman" w:cs="Times New Roman"/>
          <w:sz w:val="24"/>
          <w:szCs w:val="24"/>
          <w:lang w:val="lv-LV"/>
        </w:rPr>
        <w:t>erē</w:t>
      </w:r>
      <w:r w:rsidR="00A40A7E" w:rsidRPr="00321CBD">
        <w:rPr>
          <w:rFonts w:ascii="Times New Roman" w:hAnsi="Times New Roman" w:cs="Times New Roman"/>
          <w:sz w:val="24"/>
          <w:szCs w:val="24"/>
          <w:lang w:val="lv-LV"/>
        </w:rPr>
        <w:t>kļain</w:t>
      </w:r>
      <w:r w:rsidR="0083698A">
        <w:rPr>
          <w:rFonts w:ascii="Times New Roman" w:hAnsi="Times New Roman" w:cs="Times New Roman"/>
          <w:sz w:val="24"/>
          <w:szCs w:val="24"/>
          <w:lang w:val="lv-LV"/>
        </w:rPr>
        <w:t>ā</w:t>
      </w:r>
      <w:r w:rsidR="00A40A7E" w:rsidRPr="00321CBD">
        <w:rPr>
          <w:rFonts w:ascii="Times New Roman" w:hAnsi="Times New Roman" w:cs="Times New Roman"/>
          <w:sz w:val="24"/>
          <w:szCs w:val="24"/>
          <w:lang w:val="lv-LV"/>
        </w:rPr>
        <w:t xml:space="preserve"> glandulārā”. 45,5% tā bija vienkāršā glandul</w:t>
      </w:r>
      <w:r w:rsidR="0083698A">
        <w:rPr>
          <w:rFonts w:ascii="Times New Roman" w:hAnsi="Times New Roman" w:cs="Times New Roman"/>
          <w:sz w:val="24"/>
          <w:szCs w:val="24"/>
          <w:lang w:val="lv-LV"/>
        </w:rPr>
        <w:t>ā</w:t>
      </w:r>
      <w:r w:rsidR="00A40A7E" w:rsidRPr="00321CBD">
        <w:rPr>
          <w:rFonts w:ascii="Times New Roman" w:hAnsi="Times New Roman" w:cs="Times New Roman"/>
          <w:sz w:val="24"/>
          <w:szCs w:val="24"/>
          <w:lang w:val="lv-LV"/>
        </w:rPr>
        <w:t>rā hiperplāzija</w:t>
      </w:r>
      <w:r w:rsidR="00660FAE">
        <w:rPr>
          <w:rFonts w:ascii="Times New Roman" w:hAnsi="Times New Roman" w:cs="Times New Roman"/>
          <w:sz w:val="24"/>
          <w:szCs w:val="24"/>
          <w:lang w:val="lv-LV"/>
        </w:rPr>
        <w:t xml:space="preserve"> </w:t>
      </w:r>
      <w:r w:rsidR="00A40A7E" w:rsidRPr="00321CBD">
        <w:rPr>
          <w:rFonts w:ascii="Times New Roman" w:hAnsi="Times New Roman" w:cs="Times New Roman"/>
          <w:sz w:val="24"/>
          <w:szCs w:val="24"/>
          <w:lang w:val="lv-LV"/>
        </w:rPr>
        <w:t>un 1 gadījumā (4,5%) tā bija kompleksa hiperplāzija bez atipijas.</w:t>
      </w:r>
    </w:p>
    <w:p w14:paraId="5E58089C" w14:textId="77777777" w:rsidR="00A40A7E" w:rsidRPr="00321CBD" w:rsidRDefault="00A40A7E" w:rsidP="00222FE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Hiperplāzijas histoloģiskā analīze.</w:t>
      </w:r>
    </w:p>
    <w:p w14:paraId="724F2940" w14:textId="5EF304BB" w:rsidR="00407DCC" w:rsidRPr="00321CBD" w:rsidRDefault="00660FAE"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Visbiežāk</w:t>
      </w:r>
      <w:r w:rsidR="001A4583" w:rsidRPr="00321CBD">
        <w:rPr>
          <w:rFonts w:ascii="Times New Roman" w:hAnsi="Times New Roman" w:cs="Times New Roman"/>
          <w:sz w:val="24"/>
          <w:szCs w:val="24"/>
          <w:lang w:val="lv-LV"/>
        </w:rPr>
        <w:t xml:space="preserve"> diagnosticēt</w:t>
      </w:r>
      <w:r>
        <w:rPr>
          <w:rFonts w:ascii="Times New Roman" w:hAnsi="Times New Roman" w:cs="Times New Roman"/>
          <w:sz w:val="24"/>
          <w:szCs w:val="24"/>
          <w:lang w:val="lv-LV"/>
        </w:rPr>
        <w:t>ā</w:t>
      </w:r>
      <w:r w:rsidR="001A4583" w:rsidRPr="00321CBD">
        <w:rPr>
          <w:rFonts w:ascii="Times New Roman" w:hAnsi="Times New Roman" w:cs="Times New Roman"/>
          <w:sz w:val="24"/>
          <w:szCs w:val="24"/>
          <w:lang w:val="lv-LV"/>
        </w:rPr>
        <w:t xml:space="preserve"> hiperplāzija bija </w:t>
      </w:r>
      <w:r w:rsidR="0083698A" w:rsidRPr="00321CBD">
        <w:rPr>
          <w:rFonts w:ascii="Times New Roman" w:hAnsi="Times New Roman" w:cs="Times New Roman"/>
          <w:sz w:val="24"/>
          <w:szCs w:val="24"/>
          <w:lang w:val="lv-LV"/>
        </w:rPr>
        <w:t>vienkāršā</w:t>
      </w:r>
      <w:r w:rsidR="001A4583" w:rsidRPr="00321CBD">
        <w:rPr>
          <w:rFonts w:ascii="Times New Roman" w:hAnsi="Times New Roman" w:cs="Times New Roman"/>
          <w:sz w:val="24"/>
          <w:szCs w:val="24"/>
          <w:lang w:val="lv-LV"/>
        </w:rPr>
        <w:t xml:space="preserve"> </w:t>
      </w:r>
      <w:r w:rsidR="0083698A" w:rsidRPr="00321CBD">
        <w:rPr>
          <w:rFonts w:ascii="Times New Roman" w:hAnsi="Times New Roman" w:cs="Times New Roman"/>
          <w:sz w:val="24"/>
          <w:szCs w:val="24"/>
          <w:lang w:val="lv-LV"/>
        </w:rPr>
        <w:t>glandulārā</w:t>
      </w:r>
      <w:r w:rsidR="001A4583" w:rsidRPr="00321CBD">
        <w:rPr>
          <w:rFonts w:ascii="Times New Roman" w:hAnsi="Times New Roman" w:cs="Times New Roman"/>
          <w:sz w:val="24"/>
          <w:szCs w:val="24"/>
          <w:lang w:val="lv-LV"/>
        </w:rPr>
        <w:t xml:space="preserve"> hiperplāzij</w:t>
      </w:r>
      <w:r w:rsidR="0088363B" w:rsidRPr="00321CBD">
        <w:rPr>
          <w:rFonts w:ascii="Times New Roman" w:hAnsi="Times New Roman" w:cs="Times New Roman"/>
          <w:sz w:val="24"/>
          <w:szCs w:val="24"/>
          <w:lang w:val="lv-LV"/>
        </w:rPr>
        <w:t>a</w:t>
      </w:r>
      <w:r w:rsidR="001A4583" w:rsidRPr="00321CBD">
        <w:rPr>
          <w:rFonts w:ascii="Times New Roman" w:hAnsi="Times New Roman" w:cs="Times New Roman"/>
          <w:sz w:val="24"/>
          <w:szCs w:val="24"/>
          <w:lang w:val="lv-LV"/>
        </w:rPr>
        <w:t xml:space="preserve"> (48,6</w:t>
      </w:r>
      <w:r w:rsidR="0088363B" w:rsidRPr="00321CBD">
        <w:rPr>
          <w:rFonts w:ascii="Times New Roman" w:hAnsi="Times New Roman" w:cs="Times New Roman"/>
          <w:sz w:val="24"/>
          <w:szCs w:val="24"/>
          <w:lang w:val="lv-LV"/>
        </w:rPr>
        <w:t>%</w:t>
      </w:r>
      <w:r w:rsidR="001A4583" w:rsidRPr="00321CBD">
        <w:rPr>
          <w:rFonts w:ascii="Times New Roman" w:hAnsi="Times New Roman" w:cs="Times New Roman"/>
          <w:sz w:val="24"/>
          <w:szCs w:val="24"/>
          <w:lang w:val="lv-LV"/>
        </w:rPr>
        <w:t>). Nedaudz</w:t>
      </w:r>
      <w:r w:rsidR="0088363B" w:rsidRPr="00321CBD">
        <w:rPr>
          <w:rFonts w:ascii="Times New Roman" w:hAnsi="Times New Roman" w:cs="Times New Roman"/>
          <w:sz w:val="24"/>
          <w:szCs w:val="24"/>
          <w:lang w:val="lv-LV"/>
        </w:rPr>
        <w:t xml:space="preserve"> mazāk bija perēkļainā vienkārša glandulārā hiperplāzija (45,7%)</w:t>
      </w:r>
      <w:r>
        <w:rPr>
          <w:rFonts w:ascii="Times New Roman" w:hAnsi="Times New Roman" w:cs="Times New Roman"/>
          <w:sz w:val="24"/>
          <w:szCs w:val="24"/>
          <w:lang w:val="lv-LV"/>
        </w:rPr>
        <w:t>,</w:t>
      </w:r>
      <w:r w:rsidR="0088363B" w:rsidRPr="00321CBD">
        <w:rPr>
          <w:rFonts w:ascii="Times New Roman" w:hAnsi="Times New Roman" w:cs="Times New Roman"/>
          <w:sz w:val="24"/>
          <w:szCs w:val="24"/>
          <w:lang w:val="lv-LV"/>
        </w:rPr>
        <w:t xml:space="preserve"> 2 gadījumos (5,7%) tika diagnosticēta kompleksā hiperplāzija bez atipijas. Šajā pacientu klāstā nebija diagnosticēti atipijas vai vēža gadījumi. </w:t>
      </w:r>
    </w:p>
    <w:p w14:paraId="61EE819F" w14:textId="57A16592" w:rsidR="005830D1" w:rsidRPr="00321CBD" w:rsidRDefault="00660FAE" w:rsidP="00222FE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Analizējot</w:t>
      </w:r>
      <w:r w:rsidR="005830D1" w:rsidRPr="00321CBD">
        <w:rPr>
          <w:rFonts w:ascii="Times New Roman" w:hAnsi="Times New Roman" w:cs="Times New Roman"/>
          <w:sz w:val="24"/>
          <w:szCs w:val="24"/>
          <w:lang w:val="lv-LV"/>
        </w:rPr>
        <w:t xml:space="preserve"> hiperplāzijas histoloģ</w:t>
      </w:r>
      <w:r w:rsidR="00BA6C73" w:rsidRPr="00321CBD">
        <w:rPr>
          <w:rFonts w:ascii="Times New Roman" w:hAnsi="Times New Roman" w:cs="Times New Roman"/>
          <w:sz w:val="24"/>
          <w:szCs w:val="24"/>
          <w:lang w:val="lv-LV"/>
        </w:rPr>
        <w:t>isko tipu attiecībā uz menopauzi,</w:t>
      </w:r>
      <w:r w:rsidR="005830D1" w:rsidRPr="00321CBD">
        <w:rPr>
          <w:rFonts w:ascii="Times New Roman" w:hAnsi="Times New Roman" w:cs="Times New Roman"/>
          <w:sz w:val="24"/>
          <w:szCs w:val="24"/>
          <w:lang w:val="lv-LV"/>
        </w:rPr>
        <w:t xml:space="preserve"> statistiski </w:t>
      </w:r>
      <w:r w:rsidR="00791C62" w:rsidRPr="00321CBD">
        <w:rPr>
          <w:rFonts w:ascii="Times New Roman" w:hAnsi="Times New Roman" w:cs="Times New Roman"/>
          <w:sz w:val="24"/>
          <w:szCs w:val="24"/>
          <w:lang w:val="lv-LV"/>
        </w:rPr>
        <w:t>ticama atšķirība netika atrasta</w:t>
      </w:r>
      <w:r w:rsidR="0083698A">
        <w:rPr>
          <w:rFonts w:ascii="Times New Roman" w:hAnsi="Times New Roman" w:cs="Times New Roman"/>
          <w:sz w:val="24"/>
          <w:szCs w:val="24"/>
          <w:lang w:val="lv-LV"/>
        </w:rPr>
        <w:t xml:space="preserve"> </w:t>
      </w:r>
      <w:r w:rsidR="00791C62" w:rsidRPr="00321CBD">
        <w:rPr>
          <w:rFonts w:ascii="Times New Roman" w:hAnsi="Times New Roman" w:cs="Times New Roman"/>
          <w:sz w:val="24"/>
          <w:szCs w:val="24"/>
          <w:lang w:val="lv-LV"/>
        </w:rPr>
        <w:t>(</w:t>
      </w:r>
      <w:r w:rsidR="005634D3">
        <w:rPr>
          <w:rFonts w:ascii="Times New Roman" w:hAnsi="Times New Roman" w:cs="Times New Roman"/>
          <w:i/>
          <w:sz w:val="24"/>
          <w:szCs w:val="24"/>
          <w:lang w:val="lv-LV"/>
        </w:rPr>
        <w:t>p&gt;0,</w:t>
      </w:r>
      <w:r w:rsidR="00791C62" w:rsidRPr="00321CBD">
        <w:rPr>
          <w:rFonts w:ascii="Times New Roman" w:hAnsi="Times New Roman" w:cs="Times New Roman"/>
          <w:i/>
          <w:sz w:val="24"/>
          <w:szCs w:val="24"/>
          <w:lang w:val="lv-LV"/>
        </w:rPr>
        <w:t>05</w:t>
      </w:r>
      <w:r w:rsidR="00791C62" w:rsidRPr="00321CBD">
        <w:rPr>
          <w:rFonts w:ascii="Times New Roman" w:hAnsi="Times New Roman" w:cs="Times New Roman"/>
          <w:sz w:val="24"/>
          <w:szCs w:val="24"/>
          <w:lang w:val="lv-LV"/>
        </w:rPr>
        <w:t>)</w:t>
      </w:r>
      <w:r w:rsidR="0083698A">
        <w:rPr>
          <w:rFonts w:ascii="Times New Roman" w:hAnsi="Times New Roman" w:cs="Times New Roman"/>
          <w:sz w:val="24"/>
          <w:szCs w:val="24"/>
          <w:lang w:val="lv-LV"/>
        </w:rPr>
        <w:t>,</w:t>
      </w:r>
      <w:r w:rsidR="00791C62" w:rsidRPr="00321CBD">
        <w:rPr>
          <w:rFonts w:ascii="Times New Roman" w:hAnsi="Times New Roman" w:cs="Times New Roman"/>
          <w:sz w:val="24"/>
          <w:szCs w:val="24"/>
          <w:lang w:val="lv-LV"/>
        </w:rPr>
        <w:t xml:space="preserve"> kompleksā hiperplāzija bija pa vienam gadījumam menopauzes vecuma sievietēm un ne</w:t>
      </w:r>
      <w:r w:rsidR="0083698A">
        <w:rPr>
          <w:rFonts w:ascii="Times New Roman" w:hAnsi="Times New Roman" w:cs="Times New Roman"/>
          <w:sz w:val="24"/>
          <w:szCs w:val="24"/>
          <w:lang w:val="lv-LV"/>
        </w:rPr>
        <w:t xml:space="preserve"> </w:t>
      </w:r>
      <w:r w:rsidR="00791C62" w:rsidRPr="00321CBD">
        <w:rPr>
          <w:rFonts w:ascii="Times New Roman" w:hAnsi="Times New Roman" w:cs="Times New Roman"/>
          <w:sz w:val="24"/>
          <w:szCs w:val="24"/>
          <w:lang w:val="lv-LV"/>
        </w:rPr>
        <w:t>menopauzes vecuma sievietēm.</w:t>
      </w:r>
      <w:r w:rsidR="00BA6C73" w:rsidRPr="00321CBD">
        <w:rPr>
          <w:rFonts w:ascii="Times New Roman" w:hAnsi="Times New Roman" w:cs="Times New Roman"/>
          <w:sz w:val="24"/>
          <w:szCs w:val="24"/>
          <w:lang w:val="lv-LV"/>
        </w:rPr>
        <w:t xml:space="preserve"> Abi kompleksas hiperplāzijas gadījumi bija palielināta svara sievietēm.</w:t>
      </w:r>
    </w:p>
    <w:p w14:paraId="15C07AB7" w14:textId="7D24A17F"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Biežākais asiņošanas tips sievietēm ar hiperplāziju bija menorāģija (59,1%). </w:t>
      </w:r>
      <w:r w:rsidR="0083698A" w:rsidRPr="00321CBD">
        <w:rPr>
          <w:rFonts w:ascii="Times New Roman" w:hAnsi="Times New Roman" w:cs="Times New Roman"/>
          <w:sz w:val="24"/>
          <w:szCs w:val="24"/>
          <w:lang w:val="lv-LV"/>
        </w:rPr>
        <w:t>Pārējiem</w:t>
      </w:r>
      <w:r w:rsidRPr="00321CBD">
        <w:rPr>
          <w:rFonts w:ascii="Times New Roman" w:hAnsi="Times New Roman" w:cs="Times New Roman"/>
          <w:sz w:val="24"/>
          <w:szCs w:val="24"/>
          <w:lang w:val="lv-LV"/>
        </w:rPr>
        <w:t xml:space="preserve"> tipiem bija vienāds sadalījums.</w:t>
      </w:r>
    </w:p>
    <w:p w14:paraId="02CFB8B3" w14:textId="77777777" w:rsidR="00DA3820" w:rsidRPr="00321CBD" w:rsidRDefault="00DA3820" w:rsidP="00DA38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t>Diskusija.</w:t>
      </w:r>
    </w:p>
    <w:p w14:paraId="75ED62D9" w14:textId="633B085F" w:rsidR="00DA3820" w:rsidRPr="00321CBD" w:rsidRDefault="0083698A"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Pētījumā</w:t>
      </w:r>
      <w:r w:rsidR="00DA3820" w:rsidRPr="00321CBD">
        <w:rPr>
          <w:rFonts w:ascii="Times New Roman" w:hAnsi="Times New Roman" w:cs="Times New Roman"/>
          <w:sz w:val="24"/>
          <w:szCs w:val="24"/>
          <w:lang w:val="lv-LV"/>
        </w:rPr>
        <w:t xml:space="preserve"> vidējais sievietes vecums bija 44,45 gadi, pie kam sievietes reproduktīva vecuma vidējais vecums 40,69 gadi. Ņemot vērā, ka pacientes uz ginekoloģijas klīniku tika nosūtītas ar noteiktu ginekoloģisku patoloģiju, tas norāda, ka jaunāka gadagājuma sievietēm organiskas patoloģijas ir retāk sastopamas, vai arī tās ir asimptomātiskas un sievietes pie ārsta negriežas. Pētījumos par patoloģisku dzemdes asiņošanu un histerezektoskopiju vidējais vecums ir </w:t>
      </w:r>
      <w:r w:rsidRPr="00321CBD">
        <w:rPr>
          <w:rFonts w:ascii="Times New Roman" w:hAnsi="Times New Roman" w:cs="Times New Roman"/>
          <w:sz w:val="24"/>
          <w:szCs w:val="24"/>
          <w:lang w:val="lv-LV"/>
        </w:rPr>
        <w:t>līdzīgs</w:t>
      </w:r>
      <w:r w:rsidR="00DA3820" w:rsidRPr="00321CBD">
        <w:rPr>
          <w:rFonts w:ascii="Times New Roman" w:hAnsi="Times New Roman" w:cs="Times New Roman"/>
          <w:sz w:val="24"/>
          <w:szCs w:val="24"/>
          <w:lang w:val="lv-LV"/>
        </w:rPr>
        <w:t xml:space="preserve">. Tā </w:t>
      </w:r>
      <w:r w:rsidR="00DA3820" w:rsidRPr="00321CBD">
        <w:rPr>
          <w:rFonts w:ascii="Times New Roman" w:hAnsi="Times New Roman" w:cs="Times New Roman"/>
          <w:i/>
          <w:sz w:val="24"/>
          <w:szCs w:val="24"/>
          <w:lang w:val="lv-LV"/>
        </w:rPr>
        <w:t xml:space="preserve">Rawdha </w:t>
      </w:r>
      <w:r w:rsidRPr="00321CBD">
        <w:rPr>
          <w:rFonts w:ascii="Times New Roman" w:hAnsi="Times New Roman" w:cs="Times New Roman"/>
          <w:sz w:val="24"/>
          <w:szCs w:val="24"/>
          <w:lang w:val="lv-LV"/>
        </w:rPr>
        <w:t>pētījumā</w:t>
      </w:r>
      <w:r w:rsidR="00DA3820" w:rsidRPr="00321CBD">
        <w:rPr>
          <w:rFonts w:ascii="Times New Roman" w:hAnsi="Times New Roman" w:cs="Times New Roman"/>
          <w:sz w:val="24"/>
          <w:szCs w:val="24"/>
          <w:lang w:val="lv-LV"/>
        </w:rPr>
        <w:t xml:space="preserve"> vidējais vecums bija 49 gadi,</w:t>
      </w:r>
      <w:r w:rsidR="00EE7FF0" w:rsidRPr="00EE7FF0">
        <w:rPr>
          <w:rFonts w:ascii="Times New Roman" w:hAnsi="Times New Roman" w:cs="Times New Roman"/>
          <w:sz w:val="24"/>
          <w:szCs w:val="24"/>
          <w:vertAlign w:val="superscript"/>
          <w:lang w:val="lv-LV"/>
        </w:rPr>
        <w:t>10</w:t>
      </w:r>
      <w:r w:rsidR="00DA3820" w:rsidRPr="00321CBD">
        <w:rPr>
          <w:rFonts w:ascii="Times New Roman" w:hAnsi="Times New Roman" w:cs="Times New Roman"/>
          <w:sz w:val="24"/>
          <w:szCs w:val="24"/>
          <w:lang w:val="lv-LV"/>
        </w:rPr>
        <w:t xml:space="preserve"> </w:t>
      </w:r>
      <w:r w:rsidR="00DA3820" w:rsidRPr="00321CBD">
        <w:rPr>
          <w:rFonts w:ascii="Times New Roman" w:hAnsi="Times New Roman" w:cs="Times New Roman"/>
          <w:i/>
          <w:sz w:val="24"/>
          <w:szCs w:val="24"/>
          <w:lang w:val="lv-LV"/>
        </w:rPr>
        <w:t>Van den Bosch et al</w:t>
      </w:r>
      <w:r w:rsidR="00DA3820" w:rsidRPr="00321CBD">
        <w:rPr>
          <w:rFonts w:ascii="Times New Roman" w:hAnsi="Times New Roman" w:cs="Times New Roman"/>
          <w:sz w:val="24"/>
          <w:szCs w:val="24"/>
          <w:lang w:val="lv-LV"/>
        </w:rPr>
        <w:t xml:space="preserve"> vidējais pacientu vecums bija 50</w:t>
      </w:r>
      <w:r w:rsidR="00C717B0">
        <w:rPr>
          <w:rFonts w:ascii="Times New Roman" w:hAnsi="Times New Roman" w:cs="Times New Roman"/>
          <w:sz w:val="24"/>
          <w:szCs w:val="24"/>
          <w:lang w:val="lv-LV"/>
        </w:rPr>
        <w:t xml:space="preserve"> gadi,</w:t>
      </w:r>
      <w:r w:rsidR="00C717B0" w:rsidRPr="00C717B0">
        <w:rPr>
          <w:rFonts w:ascii="Times New Roman" w:hAnsi="Times New Roman" w:cs="Times New Roman"/>
          <w:sz w:val="24"/>
          <w:szCs w:val="24"/>
          <w:vertAlign w:val="superscript"/>
          <w:lang w:val="lv-LV"/>
        </w:rPr>
        <w:t>15</w:t>
      </w:r>
      <w:r w:rsidR="00C717B0">
        <w:rPr>
          <w:rFonts w:ascii="Times New Roman" w:hAnsi="Times New Roman" w:cs="Times New Roman"/>
          <w:sz w:val="24"/>
          <w:szCs w:val="24"/>
          <w:lang w:val="lv-LV"/>
        </w:rPr>
        <w:t xml:space="preserve"> </w:t>
      </w:r>
      <w:r w:rsidR="00DA3820" w:rsidRPr="00321CBD">
        <w:rPr>
          <w:rFonts w:ascii="Times New Roman" w:hAnsi="Times New Roman" w:cs="Times New Roman"/>
          <w:i/>
          <w:sz w:val="24"/>
          <w:szCs w:val="24"/>
          <w:lang w:val="lv-LV"/>
        </w:rPr>
        <w:t>Soguktas et al</w:t>
      </w:r>
      <w:r w:rsidR="00C717B0">
        <w:rPr>
          <w:rFonts w:ascii="Times New Roman" w:hAnsi="Times New Roman" w:cs="Times New Roman"/>
          <w:sz w:val="24"/>
          <w:szCs w:val="24"/>
          <w:lang w:val="lv-LV"/>
        </w:rPr>
        <w:t xml:space="preserve">  43,1 gads.</w:t>
      </w:r>
      <w:r w:rsidR="00C717B0" w:rsidRPr="00C717B0">
        <w:rPr>
          <w:rFonts w:ascii="Times New Roman" w:hAnsi="Times New Roman" w:cs="Times New Roman"/>
          <w:sz w:val="24"/>
          <w:szCs w:val="24"/>
          <w:vertAlign w:val="superscript"/>
          <w:lang w:val="lv-LV"/>
        </w:rPr>
        <w:t>13</w:t>
      </w:r>
      <w:r w:rsidR="00C717B0">
        <w:rPr>
          <w:rFonts w:ascii="Times New Roman" w:hAnsi="Times New Roman" w:cs="Times New Roman"/>
          <w:sz w:val="24"/>
          <w:szCs w:val="24"/>
          <w:lang w:val="lv-LV"/>
        </w:rPr>
        <w:t xml:space="preserve"> </w:t>
      </w:r>
      <w:r w:rsidR="00DA3820" w:rsidRPr="00321CBD">
        <w:rPr>
          <w:rFonts w:ascii="Times New Roman" w:hAnsi="Times New Roman" w:cs="Times New Roman"/>
          <w:sz w:val="24"/>
          <w:szCs w:val="24"/>
          <w:lang w:val="lv-LV"/>
        </w:rPr>
        <w:t xml:space="preserve">Bet Irānas </w:t>
      </w:r>
      <w:r w:rsidRPr="00321CBD">
        <w:rPr>
          <w:rFonts w:ascii="Times New Roman" w:hAnsi="Times New Roman" w:cs="Times New Roman"/>
          <w:sz w:val="24"/>
          <w:szCs w:val="24"/>
          <w:lang w:val="lv-LV"/>
        </w:rPr>
        <w:t>pētījumā</w:t>
      </w:r>
      <w:r w:rsidR="00DA3820" w:rsidRPr="00321CBD">
        <w:rPr>
          <w:rFonts w:ascii="Times New Roman" w:hAnsi="Times New Roman" w:cs="Times New Roman"/>
          <w:sz w:val="24"/>
          <w:szCs w:val="24"/>
          <w:lang w:val="lv-LV"/>
        </w:rPr>
        <w:t xml:space="preserve"> vidējais vecums bija mazliet mazāks – 38,6,</w:t>
      </w:r>
      <w:r w:rsidR="00C717B0" w:rsidRPr="00C717B0">
        <w:rPr>
          <w:rFonts w:ascii="Times New Roman" w:hAnsi="Times New Roman" w:cs="Times New Roman"/>
          <w:sz w:val="24"/>
          <w:szCs w:val="24"/>
          <w:vertAlign w:val="superscript"/>
          <w:lang w:val="lv-LV"/>
        </w:rPr>
        <w:t>9</w:t>
      </w:r>
      <w:r w:rsidR="00DA3820" w:rsidRPr="00321CBD">
        <w:rPr>
          <w:rFonts w:ascii="Times New Roman" w:hAnsi="Times New Roman" w:cs="Times New Roman"/>
          <w:sz w:val="24"/>
          <w:szCs w:val="24"/>
          <w:lang w:val="lv-LV"/>
        </w:rPr>
        <w:t xml:space="preserve"> un Indijas </w:t>
      </w:r>
      <w:r w:rsidRPr="00321CBD">
        <w:rPr>
          <w:rFonts w:ascii="Times New Roman" w:hAnsi="Times New Roman" w:cs="Times New Roman"/>
          <w:sz w:val="24"/>
          <w:szCs w:val="24"/>
          <w:lang w:val="lv-LV"/>
        </w:rPr>
        <w:t>pētījumā</w:t>
      </w:r>
      <w:r w:rsidR="00DA3820" w:rsidRPr="00321CBD">
        <w:rPr>
          <w:rFonts w:ascii="Times New Roman" w:hAnsi="Times New Roman" w:cs="Times New Roman"/>
          <w:sz w:val="24"/>
          <w:szCs w:val="24"/>
          <w:lang w:val="lv-LV"/>
        </w:rPr>
        <w:t xml:space="preserve"> tās </w:t>
      </w:r>
      <w:r w:rsidRPr="00321CBD">
        <w:rPr>
          <w:rFonts w:ascii="Times New Roman" w:hAnsi="Times New Roman" w:cs="Times New Roman"/>
          <w:sz w:val="24"/>
          <w:szCs w:val="24"/>
          <w:lang w:val="lv-LV"/>
        </w:rPr>
        <w:t>sastādīja</w:t>
      </w:r>
      <w:r w:rsidR="00C717B0">
        <w:rPr>
          <w:rFonts w:ascii="Times New Roman" w:hAnsi="Times New Roman" w:cs="Times New Roman"/>
          <w:sz w:val="24"/>
          <w:szCs w:val="24"/>
          <w:lang w:val="lv-LV"/>
        </w:rPr>
        <w:t xml:space="preserve"> 39,74 gadi</w:t>
      </w:r>
      <w:r w:rsidR="00DA3820" w:rsidRPr="00321CBD">
        <w:rPr>
          <w:rFonts w:ascii="Times New Roman" w:hAnsi="Times New Roman" w:cs="Times New Roman"/>
          <w:sz w:val="24"/>
          <w:szCs w:val="24"/>
          <w:lang w:val="lv-LV"/>
        </w:rPr>
        <w:t>.</w:t>
      </w:r>
      <w:r w:rsidR="00C717B0" w:rsidRPr="00C717B0">
        <w:rPr>
          <w:rFonts w:ascii="Times New Roman" w:hAnsi="Times New Roman" w:cs="Times New Roman"/>
          <w:sz w:val="24"/>
          <w:szCs w:val="24"/>
          <w:vertAlign w:val="superscript"/>
          <w:lang w:val="lv-LV"/>
        </w:rPr>
        <w:t>11</w:t>
      </w:r>
      <w:r w:rsidR="00DA3820" w:rsidRPr="00321CBD">
        <w:rPr>
          <w:rFonts w:ascii="Times New Roman" w:hAnsi="Times New Roman" w:cs="Times New Roman"/>
          <w:sz w:val="24"/>
          <w:szCs w:val="24"/>
          <w:lang w:val="lv-LV"/>
        </w:rPr>
        <w:t xml:space="preserve">  Šī datu </w:t>
      </w:r>
      <w:r w:rsidRPr="00321CBD">
        <w:rPr>
          <w:rFonts w:ascii="Times New Roman" w:hAnsi="Times New Roman" w:cs="Times New Roman"/>
          <w:sz w:val="24"/>
          <w:szCs w:val="24"/>
          <w:lang w:val="lv-LV"/>
        </w:rPr>
        <w:t>līdzība</w:t>
      </w:r>
      <w:r w:rsidR="00DA3820" w:rsidRPr="00321CBD">
        <w:rPr>
          <w:rFonts w:ascii="Times New Roman" w:hAnsi="Times New Roman" w:cs="Times New Roman"/>
          <w:sz w:val="24"/>
          <w:szCs w:val="24"/>
          <w:lang w:val="lv-LV"/>
        </w:rPr>
        <w:t xml:space="preserve"> arī apstiprina domu, ka organiskas patoloģijas ir biežāk sastopamas perimenopauzes vecuma sievietēm.</w:t>
      </w:r>
    </w:p>
    <w:p w14:paraId="2EF6050A" w14:textId="5ED13F2E"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Tikai 65,1% sieviešu bija dažāda rakstura sudzības, kas nozīmē, ka 1/3 patoloģija nebūtu konstatēta</w:t>
      </w:r>
      <w:r w:rsidR="005634D3">
        <w:rPr>
          <w:rFonts w:ascii="Times New Roman" w:hAnsi="Times New Roman" w:cs="Times New Roman"/>
          <w:sz w:val="24"/>
          <w:szCs w:val="24"/>
          <w:lang w:val="lv-LV"/>
        </w:rPr>
        <w:t>, ja sievietes nebūtu apmeklējušas ginekologu</w:t>
      </w:r>
      <w:r w:rsidRPr="00321CBD">
        <w:rPr>
          <w:rFonts w:ascii="Times New Roman" w:hAnsi="Times New Roman" w:cs="Times New Roman"/>
          <w:sz w:val="24"/>
          <w:szCs w:val="24"/>
          <w:lang w:val="lv-LV"/>
        </w:rPr>
        <w:t xml:space="preserve">. Pie kam sievietēm menopauzē sūdzības </w:t>
      </w:r>
      <w:r w:rsidRPr="00321CBD">
        <w:rPr>
          <w:rFonts w:ascii="Times New Roman" w:hAnsi="Times New Roman" w:cs="Times New Roman"/>
          <w:sz w:val="24"/>
          <w:szCs w:val="24"/>
          <w:lang w:val="lv-LV"/>
        </w:rPr>
        <w:lastRenderedPageBreak/>
        <w:t>bija tikai 14,3% gadījumos. Tas</w:t>
      </w:r>
      <w:r w:rsidR="005634D3">
        <w:rPr>
          <w:rFonts w:ascii="Times New Roman" w:hAnsi="Times New Roman" w:cs="Times New Roman"/>
          <w:sz w:val="24"/>
          <w:szCs w:val="24"/>
          <w:lang w:val="lv-LV"/>
        </w:rPr>
        <w:t xml:space="preserve"> uzsver regulāras pārbaudes nepieciešamību</w:t>
      </w:r>
      <w:r w:rsidRPr="00321CBD">
        <w:rPr>
          <w:rFonts w:ascii="Times New Roman" w:hAnsi="Times New Roman" w:cs="Times New Roman"/>
          <w:sz w:val="24"/>
          <w:szCs w:val="24"/>
          <w:lang w:val="lv-LV"/>
        </w:rPr>
        <w:t xml:space="preserve"> reizi gadā ar ultrasonogrāfijas izmeklēšanu, īpaši sievietēm menopauzes vecumā. Interesanti, ka palielināta svara sievietēm s</w:t>
      </w:r>
      <w:r w:rsidR="0083698A">
        <w:rPr>
          <w:rFonts w:ascii="Times New Roman" w:hAnsi="Times New Roman" w:cs="Times New Roman"/>
          <w:sz w:val="24"/>
          <w:szCs w:val="24"/>
          <w:lang w:val="lv-LV"/>
        </w:rPr>
        <w:t>ū</w:t>
      </w:r>
      <w:r w:rsidRPr="00321CBD">
        <w:rPr>
          <w:rFonts w:ascii="Times New Roman" w:hAnsi="Times New Roman" w:cs="Times New Roman"/>
          <w:sz w:val="24"/>
          <w:szCs w:val="24"/>
          <w:lang w:val="lv-LV"/>
        </w:rPr>
        <w:t xml:space="preserve">dzības bija tikpat bieži, kā normāla svara sievietēm. </w:t>
      </w:r>
      <w:r w:rsidR="0083698A">
        <w:rPr>
          <w:rFonts w:ascii="Times New Roman" w:hAnsi="Times New Roman" w:cs="Times New Roman"/>
          <w:sz w:val="24"/>
          <w:szCs w:val="24"/>
          <w:lang w:val="lv-LV"/>
        </w:rPr>
        <w:t>T</w:t>
      </w:r>
      <w:r w:rsidRPr="00321CBD">
        <w:rPr>
          <w:rFonts w:ascii="Times New Roman" w:hAnsi="Times New Roman" w:cs="Times New Roman"/>
          <w:sz w:val="24"/>
          <w:szCs w:val="24"/>
          <w:lang w:val="lv-LV"/>
        </w:rPr>
        <w:t xml:space="preserve">as attiecas gan uz sūdzībām kopumā, gan tieši uz sūdzībām par asiņošanu. </w:t>
      </w:r>
      <w:r w:rsidR="0083698A">
        <w:rPr>
          <w:rFonts w:ascii="Times New Roman" w:hAnsi="Times New Roman" w:cs="Times New Roman"/>
          <w:sz w:val="24"/>
          <w:szCs w:val="24"/>
          <w:lang w:val="lv-LV"/>
        </w:rPr>
        <w:t xml:space="preserve">Būtu nepieciešams turpināt pētījumu ar lielāku pacientu skaitu, lai noskaidrotu, vai šī tendence tiešām pastāv. </w:t>
      </w:r>
      <w:r w:rsidRPr="00321CBD">
        <w:rPr>
          <w:rFonts w:ascii="Times New Roman" w:hAnsi="Times New Roman" w:cs="Times New Roman"/>
          <w:sz w:val="24"/>
          <w:szCs w:val="24"/>
          <w:lang w:val="lv-LV"/>
        </w:rPr>
        <w:t>90,2% no sūdzībām ir par patoloģisku asiņošanu no dzimumceļiem, kas parāda, k</w:t>
      </w:r>
      <w:r w:rsidR="0083698A">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pie </w:t>
      </w:r>
      <w:r w:rsidR="0030125C">
        <w:rPr>
          <w:rFonts w:ascii="Times New Roman" w:hAnsi="Times New Roman" w:cs="Times New Roman"/>
          <w:sz w:val="24"/>
          <w:szCs w:val="24"/>
          <w:lang w:val="lv-LV"/>
        </w:rPr>
        <w:t>strukturālas</w:t>
      </w:r>
      <w:r w:rsidRPr="00321CBD">
        <w:rPr>
          <w:rFonts w:ascii="Times New Roman" w:hAnsi="Times New Roman" w:cs="Times New Roman"/>
          <w:sz w:val="24"/>
          <w:szCs w:val="24"/>
          <w:lang w:val="lv-LV"/>
        </w:rPr>
        <w:t xml:space="preserve"> dzemdes patoloģijas tas tomēr ir vadošais simptoms. Tas arī atbilst starptautiskiem pētījumiem, kur par galveno iemeslu </w:t>
      </w:r>
      <w:r w:rsidR="005634D3">
        <w:rPr>
          <w:rFonts w:ascii="Times New Roman" w:hAnsi="Times New Roman" w:cs="Times New Roman"/>
          <w:sz w:val="24"/>
          <w:szCs w:val="24"/>
          <w:lang w:val="lv-LV"/>
        </w:rPr>
        <w:t>vizītei</w:t>
      </w:r>
      <w:r w:rsidR="0083698A"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pie ārsta </w:t>
      </w:r>
      <w:r w:rsidR="00B53CF5">
        <w:rPr>
          <w:rFonts w:ascii="Times New Roman" w:hAnsi="Times New Roman" w:cs="Times New Roman"/>
          <w:sz w:val="24"/>
          <w:szCs w:val="24"/>
          <w:lang w:val="lv-LV"/>
        </w:rPr>
        <w:t>ir</w:t>
      </w:r>
      <w:r w:rsidRPr="00321CBD">
        <w:rPr>
          <w:rFonts w:ascii="Times New Roman" w:hAnsi="Times New Roman" w:cs="Times New Roman"/>
          <w:sz w:val="24"/>
          <w:szCs w:val="24"/>
          <w:lang w:val="lv-LV"/>
        </w:rPr>
        <w:t xml:space="preserve"> patoloģiska dzemdes asiņošana</w:t>
      </w:r>
      <w:r w:rsidR="00B53CF5">
        <w:rPr>
          <w:rFonts w:ascii="Times New Roman" w:hAnsi="Times New Roman" w:cs="Times New Roman"/>
          <w:sz w:val="24"/>
          <w:szCs w:val="24"/>
          <w:lang w:val="lv-LV"/>
        </w:rPr>
        <w:t>.</w:t>
      </w:r>
      <w:r w:rsidR="0083698A">
        <w:rPr>
          <w:rFonts w:ascii="Times New Roman" w:hAnsi="Times New Roman" w:cs="Times New Roman"/>
          <w:sz w:val="24"/>
          <w:szCs w:val="24"/>
          <w:lang w:val="lv-LV"/>
        </w:rPr>
        <w:t xml:space="preserve"> </w:t>
      </w:r>
    </w:p>
    <w:p w14:paraId="2F2C11BF" w14:textId="20A81044"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Visbiežāk no simptomu paradīšanas brīža līdz paciente </w:t>
      </w:r>
      <w:r w:rsidR="0083698A">
        <w:rPr>
          <w:rFonts w:ascii="Times New Roman" w:hAnsi="Times New Roman" w:cs="Times New Roman"/>
          <w:sz w:val="24"/>
          <w:szCs w:val="24"/>
          <w:lang w:val="lv-LV"/>
        </w:rPr>
        <w:t>veica vizīti pie</w:t>
      </w:r>
      <w:r w:rsidRPr="00321CBD">
        <w:rPr>
          <w:rFonts w:ascii="Times New Roman" w:hAnsi="Times New Roman" w:cs="Times New Roman"/>
          <w:sz w:val="24"/>
          <w:szCs w:val="24"/>
          <w:lang w:val="lv-LV"/>
        </w:rPr>
        <w:t xml:space="preserve"> ārsta pagāja no 3 līdz 6 mēneši</w:t>
      </w:r>
      <w:r w:rsidR="0083698A">
        <w:rPr>
          <w:rFonts w:ascii="Times New Roman" w:hAnsi="Times New Roman" w:cs="Times New Roman"/>
          <w:sz w:val="24"/>
          <w:szCs w:val="24"/>
          <w:lang w:val="lv-LV"/>
        </w:rPr>
        <w:t>em</w:t>
      </w:r>
      <w:r w:rsidRPr="00321CBD">
        <w:rPr>
          <w:rFonts w:ascii="Times New Roman" w:hAnsi="Times New Roman" w:cs="Times New Roman"/>
          <w:sz w:val="24"/>
          <w:szCs w:val="24"/>
          <w:lang w:val="lv-LV"/>
        </w:rPr>
        <w:t>.  Laika periods no 7 līdz 12 mēneši</w:t>
      </w:r>
      <w:r w:rsidR="0083698A">
        <w:rPr>
          <w:rFonts w:ascii="Times New Roman" w:hAnsi="Times New Roman" w:cs="Times New Roman"/>
          <w:sz w:val="24"/>
          <w:szCs w:val="24"/>
          <w:lang w:val="lv-LV"/>
        </w:rPr>
        <w:t>em</w:t>
      </w:r>
      <w:r w:rsidRPr="00321CBD">
        <w:rPr>
          <w:rFonts w:ascii="Times New Roman" w:hAnsi="Times New Roman" w:cs="Times New Roman"/>
          <w:sz w:val="24"/>
          <w:szCs w:val="24"/>
          <w:lang w:val="lv-LV"/>
        </w:rPr>
        <w:t xml:space="preserve"> bija atzīmēts tikai par 9% mazāk, un tie kopā </w:t>
      </w:r>
      <w:r w:rsidR="0083698A"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70,30%. No vienas puses tas ir labi, jo sieviete negaida ļoti ilgi</w:t>
      </w:r>
      <w:r w:rsidR="0083698A">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lai grieztos pie ārsta, bet</w:t>
      </w:r>
      <w:r w:rsidR="0083698A">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no otras puses, ja </w:t>
      </w:r>
      <w:r w:rsidR="0083698A">
        <w:rPr>
          <w:rFonts w:ascii="Times New Roman" w:hAnsi="Times New Roman" w:cs="Times New Roman"/>
          <w:sz w:val="24"/>
          <w:szCs w:val="24"/>
          <w:lang w:val="lv-LV"/>
        </w:rPr>
        <w:t>par optimāli laika periodu tiek uzskatīti</w:t>
      </w:r>
      <w:r w:rsidRPr="00321CBD">
        <w:rPr>
          <w:rFonts w:ascii="Times New Roman" w:hAnsi="Times New Roman" w:cs="Times New Roman"/>
          <w:sz w:val="24"/>
          <w:szCs w:val="24"/>
          <w:lang w:val="lv-LV"/>
        </w:rPr>
        <w:t xml:space="preserve"> 3 – 6 mēneši, tad tikai nedaudz vairāk kā trešdaļa ir griezusies pēc palīdzības savlaicīgi. Nevar arī </w:t>
      </w:r>
      <w:r w:rsidR="0083698A" w:rsidRPr="00321CBD">
        <w:rPr>
          <w:rFonts w:ascii="Times New Roman" w:hAnsi="Times New Roman" w:cs="Times New Roman"/>
          <w:sz w:val="24"/>
          <w:szCs w:val="24"/>
          <w:lang w:val="lv-LV"/>
        </w:rPr>
        <w:t>nenovērtēt</w:t>
      </w:r>
      <w:r w:rsidRPr="00321CBD">
        <w:rPr>
          <w:rFonts w:ascii="Times New Roman" w:hAnsi="Times New Roman" w:cs="Times New Roman"/>
          <w:sz w:val="24"/>
          <w:szCs w:val="24"/>
          <w:lang w:val="lv-LV"/>
        </w:rPr>
        <w:t xml:space="preserve"> to fa</w:t>
      </w:r>
      <w:r w:rsidR="00B53CF5">
        <w:rPr>
          <w:rFonts w:ascii="Times New Roman" w:hAnsi="Times New Roman" w:cs="Times New Roman"/>
          <w:sz w:val="24"/>
          <w:szCs w:val="24"/>
          <w:lang w:val="lv-LV"/>
        </w:rPr>
        <w:t>ktu, ka 19,80% sieviešu bija</w:t>
      </w:r>
      <w:r w:rsidR="0030125C">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patoloģisk</w:t>
      </w:r>
      <w:r w:rsidR="00B53CF5">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asiņošan</w:t>
      </w:r>
      <w:r w:rsidR="00B53CF5">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vairāk kā gadu, kas varētu negatīvi atspoguļoties uz viņu pašsajūt</w:t>
      </w:r>
      <w:r w:rsidR="0083698A">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Pie kam tās bija sievietes </w:t>
      </w:r>
      <w:r w:rsidR="0083698A" w:rsidRPr="00321CBD">
        <w:rPr>
          <w:rFonts w:ascii="Times New Roman" w:hAnsi="Times New Roman" w:cs="Times New Roman"/>
          <w:sz w:val="24"/>
          <w:szCs w:val="24"/>
          <w:lang w:val="lv-LV"/>
        </w:rPr>
        <w:t>reproduktīvā</w:t>
      </w:r>
      <w:r w:rsidRPr="00321CBD">
        <w:rPr>
          <w:rFonts w:ascii="Times New Roman" w:hAnsi="Times New Roman" w:cs="Times New Roman"/>
          <w:sz w:val="24"/>
          <w:szCs w:val="24"/>
          <w:lang w:val="lv-LV"/>
        </w:rPr>
        <w:t xml:space="preserve"> vecum</w:t>
      </w:r>
      <w:r w:rsidR="00B53CF5">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w:t>
      </w:r>
    </w:p>
    <w:p w14:paraId="48B1A04E" w14:textId="77777777" w:rsidR="00DA3820" w:rsidRPr="00321CBD" w:rsidRDefault="00DA3820" w:rsidP="00DA38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 – Polips</w:t>
      </w:r>
    </w:p>
    <w:p w14:paraId="615FBAF5" w14:textId="2B0AFB04"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Lielākā daļa no pacientēm bija griezusies pēc palīdzības sakarā ar endometrija polipu. No kopēja pacientu skaita polips histoloģiski tika konstatēts 76,7%. Tas ir </w:t>
      </w:r>
      <w:r w:rsidR="00BE6916" w:rsidRPr="00321CBD">
        <w:rPr>
          <w:rFonts w:ascii="Times New Roman" w:hAnsi="Times New Roman" w:cs="Times New Roman"/>
          <w:sz w:val="24"/>
          <w:szCs w:val="24"/>
          <w:lang w:val="lv-LV"/>
        </w:rPr>
        <w:t>salīdzināms</w:t>
      </w:r>
      <w:r w:rsidRPr="00321CBD">
        <w:rPr>
          <w:rFonts w:ascii="Times New Roman" w:hAnsi="Times New Roman" w:cs="Times New Roman"/>
          <w:sz w:val="24"/>
          <w:szCs w:val="24"/>
          <w:lang w:val="lv-LV"/>
        </w:rPr>
        <w:t xml:space="preserve"> ar citiem pētījumiem, kur polips arī bija visbiežākā atrast</w:t>
      </w:r>
      <w:r w:rsidR="00BE6916">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patoloģija. Tā </w:t>
      </w:r>
      <w:r w:rsidRPr="00321CBD">
        <w:rPr>
          <w:rFonts w:ascii="Times New Roman" w:hAnsi="Times New Roman" w:cs="Times New Roman"/>
          <w:i/>
          <w:sz w:val="24"/>
          <w:szCs w:val="24"/>
          <w:lang w:val="lv-LV"/>
        </w:rPr>
        <w:t xml:space="preserve">Allameh et </w:t>
      </w:r>
      <w:r w:rsidRPr="00321CBD">
        <w:rPr>
          <w:rFonts w:ascii="Times New Roman" w:hAnsi="Times New Roman" w:cs="Times New Roman"/>
          <w:sz w:val="24"/>
          <w:szCs w:val="24"/>
          <w:lang w:val="lv-LV"/>
        </w:rPr>
        <w:t>al nodemonstrēja, ka endometrija polips tika konstatēts 38% gadījumos,</w:t>
      </w:r>
      <w:r w:rsidR="00C717B0" w:rsidRPr="00C717B0">
        <w:rPr>
          <w:rFonts w:ascii="Times New Roman" w:hAnsi="Times New Roman" w:cs="Times New Roman"/>
          <w:sz w:val="24"/>
          <w:szCs w:val="24"/>
          <w:vertAlign w:val="superscript"/>
          <w:lang w:val="lv-LV"/>
        </w:rPr>
        <w:t>9</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Dinic at al </w:t>
      </w:r>
      <w:r w:rsidRPr="00321CBD">
        <w:rPr>
          <w:rFonts w:ascii="Times New Roman" w:hAnsi="Times New Roman" w:cs="Times New Roman"/>
          <w:sz w:val="24"/>
          <w:szCs w:val="24"/>
          <w:lang w:val="lv-LV"/>
        </w:rPr>
        <w:t>endometrija polips bija konstatēts gandrīz 22% gadījumos,</w:t>
      </w:r>
      <w:r w:rsidR="00C717B0" w:rsidRPr="00C717B0">
        <w:rPr>
          <w:rFonts w:ascii="Times New Roman" w:hAnsi="Times New Roman" w:cs="Times New Roman"/>
          <w:sz w:val="24"/>
          <w:szCs w:val="24"/>
          <w:vertAlign w:val="superscript"/>
          <w:lang w:val="lv-LV"/>
        </w:rPr>
        <w:t>1</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Soguktas et al</w:t>
      </w:r>
      <w:r w:rsidRPr="00321CBD">
        <w:rPr>
          <w:rFonts w:ascii="Times New Roman" w:hAnsi="Times New Roman" w:cs="Times New Roman"/>
          <w:sz w:val="24"/>
          <w:szCs w:val="24"/>
          <w:lang w:val="lv-LV"/>
        </w:rPr>
        <w:t xml:space="preserve"> polipu histoloģiski </w:t>
      </w:r>
      <w:r w:rsidR="00BE6916" w:rsidRPr="00321CBD">
        <w:rPr>
          <w:rFonts w:ascii="Times New Roman" w:hAnsi="Times New Roman" w:cs="Times New Roman"/>
          <w:sz w:val="24"/>
          <w:szCs w:val="24"/>
          <w:lang w:val="lv-LV"/>
        </w:rPr>
        <w:t>pieradīja</w:t>
      </w:r>
      <w:r w:rsidRPr="00321CBD">
        <w:rPr>
          <w:rFonts w:ascii="Times New Roman" w:hAnsi="Times New Roman" w:cs="Times New Roman"/>
          <w:sz w:val="24"/>
          <w:szCs w:val="24"/>
          <w:lang w:val="lv-LV"/>
        </w:rPr>
        <w:t xml:space="preserve"> 38,2%,</w:t>
      </w:r>
      <w:r w:rsidR="00C717B0" w:rsidRPr="00C717B0">
        <w:rPr>
          <w:rFonts w:ascii="Times New Roman" w:hAnsi="Times New Roman" w:cs="Times New Roman"/>
          <w:sz w:val="24"/>
          <w:szCs w:val="24"/>
          <w:vertAlign w:val="superscript"/>
          <w:lang w:val="lv-LV"/>
        </w:rPr>
        <w:t>13</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Rawdha</w:t>
      </w:r>
      <w:r w:rsidRPr="00321CBD">
        <w:rPr>
          <w:rFonts w:ascii="Times New Roman" w:hAnsi="Times New Roman" w:cs="Times New Roman"/>
          <w:sz w:val="24"/>
          <w:szCs w:val="24"/>
          <w:lang w:val="lv-LV"/>
        </w:rPr>
        <w:t xml:space="preserve"> 27,3%,</w:t>
      </w:r>
      <w:r w:rsidR="00C717B0" w:rsidRPr="00C717B0">
        <w:rPr>
          <w:rFonts w:ascii="Times New Roman" w:hAnsi="Times New Roman" w:cs="Times New Roman"/>
          <w:sz w:val="24"/>
          <w:szCs w:val="24"/>
          <w:vertAlign w:val="superscript"/>
          <w:lang w:val="lv-LV"/>
        </w:rPr>
        <w:t>10</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Van Den Bosch et al</w:t>
      </w:r>
      <w:r w:rsidR="00C717B0">
        <w:rPr>
          <w:rFonts w:ascii="Times New Roman" w:hAnsi="Times New Roman" w:cs="Times New Roman"/>
          <w:sz w:val="24"/>
          <w:szCs w:val="24"/>
          <w:lang w:val="lv-LV"/>
        </w:rPr>
        <w:t xml:space="preserve"> 25,7% gadījumos.</w:t>
      </w:r>
      <w:r w:rsidR="00C717B0" w:rsidRPr="00C717B0">
        <w:rPr>
          <w:rFonts w:ascii="Times New Roman" w:hAnsi="Times New Roman" w:cs="Times New Roman"/>
          <w:sz w:val="24"/>
          <w:szCs w:val="24"/>
          <w:vertAlign w:val="superscript"/>
          <w:lang w:val="lv-LV"/>
        </w:rPr>
        <w:t>15</w:t>
      </w:r>
      <w:r w:rsidRPr="00321CBD">
        <w:rPr>
          <w:rFonts w:ascii="Times New Roman" w:hAnsi="Times New Roman" w:cs="Times New Roman"/>
          <w:sz w:val="24"/>
          <w:szCs w:val="24"/>
          <w:lang w:val="lv-LV"/>
        </w:rPr>
        <w:t xml:space="preserve"> Šie skaitļi salīdzinoši ar šo pētījumu ir mazāki, jo katrā no pētījumiem no 40 līdz 50% gadījum</w:t>
      </w:r>
      <w:r w:rsidR="00BE6916">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nekāda patoloģija netika atrasta. Analizējot starp patoloģijām šīs skaitlis tuvojas šajā pētījumā iegūtajam. </w:t>
      </w:r>
    </w:p>
    <w:p w14:paraId="3094350D" w14:textId="5C0A1F5D"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Apmēram 1/3 sieviešu ar polipu nebija nekādu </w:t>
      </w:r>
      <w:r w:rsidR="00BE6916" w:rsidRPr="00321CBD">
        <w:rPr>
          <w:rFonts w:ascii="Times New Roman" w:hAnsi="Times New Roman" w:cs="Times New Roman"/>
          <w:sz w:val="24"/>
          <w:szCs w:val="24"/>
          <w:lang w:val="lv-LV"/>
        </w:rPr>
        <w:t>sūdzību</w:t>
      </w:r>
      <w:r w:rsidRPr="00321CBD">
        <w:rPr>
          <w:rFonts w:ascii="Times New Roman" w:hAnsi="Times New Roman" w:cs="Times New Roman"/>
          <w:sz w:val="24"/>
          <w:szCs w:val="24"/>
          <w:lang w:val="lv-LV"/>
        </w:rPr>
        <w:t xml:space="preserve">. Lielāka daļa no tām </w:t>
      </w:r>
      <w:r w:rsidR="00BE6916">
        <w:rPr>
          <w:rFonts w:ascii="Times New Roman" w:hAnsi="Times New Roman" w:cs="Times New Roman"/>
          <w:sz w:val="24"/>
          <w:szCs w:val="24"/>
          <w:lang w:val="lv-LV"/>
        </w:rPr>
        <w:t xml:space="preserve">bija </w:t>
      </w:r>
      <w:r w:rsidRPr="00321CBD">
        <w:rPr>
          <w:rFonts w:ascii="Times New Roman" w:hAnsi="Times New Roman" w:cs="Times New Roman"/>
          <w:sz w:val="24"/>
          <w:szCs w:val="24"/>
          <w:lang w:val="lv-LV"/>
        </w:rPr>
        <w:t>menopauz</w:t>
      </w:r>
      <w:r w:rsidR="009758DC">
        <w:rPr>
          <w:rFonts w:ascii="Times New Roman" w:hAnsi="Times New Roman" w:cs="Times New Roman"/>
          <w:sz w:val="24"/>
          <w:szCs w:val="24"/>
          <w:lang w:val="lv-LV"/>
        </w:rPr>
        <w:t>es vecumā</w:t>
      </w:r>
      <w:r w:rsidRPr="00321CBD">
        <w:rPr>
          <w:rFonts w:ascii="Times New Roman" w:hAnsi="Times New Roman" w:cs="Times New Roman"/>
          <w:sz w:val="24"/>
          <w:szCs w:val="24"/>
          <w:lang w:val="lv-LV"/>
        </w:rPr>
        <w:t>. Ņemot vērā, ka polipam malignizācijas risks ir ļoti zems, tādām sievietēm ir iespējama nogaidoša taktika, konstatējot polipu ar US metodi. Lai izslēgtu onkoloģisku patoloģiju, ir iespējams veikt aspirācijas biopsiju</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un, ja tā ir negatīva, nesūtīt sievieti uz </w:t>
      </w:r>
      <w:r w:rsidR="00BE6916" w:rsidRPr="00321CBD">
        <w:rPr>
          <w:rFonts w:ascii="Times New Roman" w:hAnsi="Times New Roman" w:cs="Times New Roman"/>
          <w:sz w:val="24"/>
          <w:szCs w:val="24"/>
          <w:lang w:val="lv-LV"/>
        </w:rPr>
        <w:t>hister</w:t>
      </w:r>
      <w:r w:rsidR="009758DC">
        <w:rPr>
          <w:rFonts w:ascii="Times New Roman" w:hAnsi="Times New Roman" w:cs="Times New Roman"/>
          <w:sz w:val="24"/>
          <w:szCs w:val="24"/>
          <w:lang w:val="lv-LV"/>
        </w:rPr>
        <w:t>or</w:t>
      </w:r>
      <w:r w:rsidR="00BE6916" w:rsidRPr="00321CBD">
        <w:rPr>
          <w:rFonts w:ascii="Times New Roman" w:hAnsi="Times New Roman" w:cs="Times New Roman"/>
          <w:sz w:val="24"/>
          <w:szCs w:val="24"/>
          <w:lang w:val="lv-LV"/>
        </w:rPr>
        <w:t>ezektoskopiju</w:t>
      </w:r>
      <w:r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lastRenderedPageBreak/>
        <w:t>Tādā gadījumā ir ļoti svarīga korekta diagnostika. Attiecībā uz polipu</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dotajā pētījumā </w:t>
      </w:r>
      <w:r w:rsidR="00BE6916">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ltrasonogrāfija </w:t>
      </w:r>
      <w:r w:rsidR="00BE6916" w:rsidRPr="00321CBD">
        <w:rPr>
          <w:rFonts w:ascii="Times New Roman" w:hAnsi="Times New Roman" w:cs="Times New Roman"/>
          <w:sz w:val="24"/>
          <w:szCs w:val="24"/>
          <w:lang w:val="lv-LV"/>
        </w:rPr>
        <w:t>uzradīja</w:t>
      </w:r>
      <w:r w:rsidRPr="00321CBD">
        <w:rPr>
          <w:rFonts w:ascii="Times New Roman" w:hAnsi="Times New Roman" w:cs="Times New Roman"/>
          <w:sz w:val="24"/>
          <w:szCs w:val="24"/>
          <w:lang w:val="lv-LV"/>
        </w:rPr>
        <w:t xml:space="preserve"> labu rezultātu sensitivitātes un pozitīvas paredzamas vērtības ziņā. Gan sensitivitāte, gan specifitāte </w:t>
      </w:r>
      <w:r w:rsidR="00BE6916"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90,91%, kas var tik</w:t>
      </w:r>
      <w:r w:rsidR="009758DC">
        <w:rPr>
          <w:rFonts w:ascii="Times New Roman" w:hAnsi="Times New Roman" w:cs="Times New Roman"/>
          <w:sz w:val="24"/>
          <w:szCs w:val="24"/>
          <w:lang w:val="lv-LV"/>
        </w:rPr>
        <w:t>t</w:t>
      </w:r>
      <w:r w:rsidRPr="00321CBD">
        <w:rPr>
          <w:rFonts w:ascii="Times New Roman" w:hAnsi="Times New Roman" w:cs="Times New Roman"/>
          <w:sz w:val="24"/>
          <w:szCs w:val="24"/>
          <w:lang w:val="lv-LV"/>
        </w:rPr>
        <w:t xml:space="preserve"> uzskatīts par ļoti labu rezultātu un atbilst rezultātiem, kas ir </w:t>
      </w:r>
      <w:r w:rsidR="00BE6916">
        <w:rPr>
          <w:rFonts w:ascii="Times New Roman" w:hAnsi="Times New Roman" w:cs="Times New Roman"/>
          <w:sz w:val="24"/>
          <w:szCs w:val="24"/>
          <w:lang w:val="lv-LV"/>
        </w:rPr>
        <w:t>vērojami</w:t>
      </w:r>
      <w:r w:rsidRPr="00321CBD">
        <w:rPr>
          <w:rFonts w:ascii="Times New Roman" w:hAnsi="Times New Roman" w:cs="Times New Roman"/>
          <w:sz w:val="24"/>
          <w:szCs w:val="24"/>
          <w:lang w:val="lv-LV"/>
        </w:rPr>
        <w:t xml:space="preserve"> citos pētījumos. Specifitāte un </w:t>
      </w:r>
      <w:r w:rsidR="00BE6916">
        <w:rPr>
          <w:rFonts w:ascii="Times New Roman" w:hAnsi="Times New Roman" w:cs="Times New Roman"/>
          <w:sz w:val="24"/>
          <w:szCs w:val="24"/>
          <w:lang w:val="lv-LV"/>
        </w:rPr>
        <w:t>n</w:t>
      </w:r>
      <w:r w:rsidRPr="00321CBD">
        <w:rPr>
          <w:rFonts w:ascii="Times New Roman" w:hAnsi="Times New Roman" w:cs="Times New Roman"/>
          <w:sz w:val="24"/>
          <w:szCs w:val="24"/>
          <w:lang w:val="lv-LV"/>
        </w:rPr>
        <w:t xml:space="preserve">egatīva paredzama vērtība šajā pētījumā </w:t>
      </w:r>
      <w:r w:rsidR="00BE6916"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tikai 70%, kas var tikt uzskatīts par labu rezultātu salīdzinot ar citiem pētījumiem. Tā, piemēram</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Van Den Bosch</w:t>
      </w:r>
      <w:r w:rsidRPr="00321CBD">
        <w:rPr>
          <w:rFonts w:ascii="Times New Roman" w:hAnsi="Times New Roman" w:cs="Times New Roman"/>
          <w:sz w:val="24"/>
          <w:szCs w:val="24"/>
          <w:lang w:val="lv-LV"/>
        </w:rPr>
        <w:t xml:space="preserve"> pētījumā sensitivitāte </w:t>
      </w:r>
      <w:r w:rsidR="00BE6916"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tikai 39%, specifitāte 95%, pozitīva paredzama vērtība 93% un negatīva paredzama </w:t>
      </w:r>
      <w:r w:rsidR="00BE6916" w:rsidRPr="00321CBD">
        <w:rPr>
          <w:rFonts w:ascii="Times New Roman" w:hAnsi="Times New Roman" w:cs="Times New Roman"/>
          <w:sz w:val="24"/>
          <w:szCs w:val="24"/>
          <w:lang w:val="lv-LV"/>
        </w:rPr>
        <w:t>vērtība</w:t>
      </w:r>
      <w:r w:rsidRPr="00321CBD">
        <w:rPr>
          <w:rFonts w:ascii="Times New Roman" w:hAnsi="Times New Roman" w:cs="Times New Roman"/>
          <w:sz w:val="24"/>
          <w:szCs w:val="24"/>
          <w:lang w:val="lv-LV"/>
        </w:rPr>
        <w:t xml:space="preserve"> tikai 49%, </w:t>
      </w:r>
      <w:r w:rsidR="00C717B0">
        <w:rPr>
          <w:rFonts w:ascii="Times New Roman" w:hAnsi="Times New Roman" w:cs="Times New Roman"/>
          <w:sz w:val="24"/>
          <w:szCs w:val="24"/>
          <w:lang w:val="lv-LV"/>
        </w:rPr>
        <w:t>attiecībā uz fokālām izmaiņām.</w:t>
      </w:r>
      <w:r w:rsidR="00C717B0" w:rsidRPr="00C717B0">
        <w:rPr>
          <w:rFonts w:ascii="Times New Roman" w:hAnsi="Times New Roman" w:cs="Times New Roman"/>
          <w:sz w:val="24"/>
          <w:szCs w:val="24"/>
          <w:vertAlign w:val="superscript"/>
          <w:lang w:val="lv-LV"/>
        </w:rPr>
        <w:t>15</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Soguktas et al</w:t>
      </w:r>
      <w:r w:rsidRPr="00321CBD">
        <w:rPr>
          <w:rFonts w:ascii="Times New Roman" w:hAnsi="Times New Roman" w:cs="Times New Roman"/>
          <w:sz w:val="24"/>
          <w:szCs w:val="24"/>
          <w:lang w:val="lv-LV"/>
        </w:rPr>
        <w:t xml:space="preserve"> </w:t>
      </w:r>
      <w:r w:rsidR="00BE6916" w:rsidRPr="00321CBD">
        <w:rPr>
          <w:rFonts w:ascii="Times New Roman" w:hAnsi="Times New Roman" w:cs="Times New Roman"/>
          <w:sz w:val="24"/>
          <w:szCs w:val="24"/>
          <w:lang w:val="lv-LV"/>
        </w:rPr>
        <w:t>parādīja</w:t>
      </w:r>
      <w:r w:rsidRPr="00321CBD">
        <w:rPr>
          <w:rFonts w:ascii="Times New Roman" w:hAnsi="Times New Roman" w:cs="Times New Roman"/>
          <w:sz w:val="24"/>
          <w:szCs w:val="24"/>
          <w:lang w:val="lv-LV"/>
        </w:rPr>
        <w:t xml:space="preserve"> sensitivitāti 64,7% un specifitāti 90,9%  attiecībā uz polipu.</w:t>
      </w:r>
      <w:r w:rsidR="00C717B0" w:rsidRPr="00C717B0">
        <w:rPr>
          <w:rFonts w:ascii="Times New Roman" w:hAnsi="Times New Roman" w:cs="Times New Roman"/>
          <w:sz w:val="24"/>
          <w:szCs w:val="24"/>
          <w:vertAlign w:val="superscript"/>
          <w:lang w:val="lv-LV"/>
        </w:rPr>
        <w:t>13</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Veena et al </w:t>
      </w:r>
      <w:r w:rsidRPr="00321CBD">
        <w:rPr>
          <w:rFonts w:ascii="Times New Roman" w:hAnsi="Times New Roman" w:cs="Times New Roman"/>
          <w:sz w:val="24"/>
          <w:szCs w:val="24"/>
          <w:lang w:val="lv-LV"/>
        </w:rPr>
        <w:t>konstatēja savā pētījumā 22,22% sensitivitāti</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100% specifitāti, 100% pozitīvu paredzamu vērtību un 87,93% negatīvu paredzamu vērtību.</w:t>
      </w:r>
      <w:r w:rsidR="00C717B0" w:rsidRPr="00C717B0">
        <w:rPr>
          <w:rFonts w:ascii="Times New Roman" w:hAnsi="Times New Roman" w:cs="Times New Roman"/>
          <w:sz w:val="24"/>
          <w:szCs w:val="24"/>
          <w:vertAlign w:val="superscript"/>
          <w:lang w:val="lv-LV"/>
        </w:rPr>
        <w:t>16</w:t>
      </w:r>
      <w:r w:rsidRPr="00321CBD">
        <w:rPr>
          <w:rFonts w:ascii="Times New Roman" w:hAnsi="Times New Roman" w:cs="Times New Roman"/>
          <w:sz w:val="24"/>
          <w:szCs w:val="24"/>
          <w:lang w:val="lv-LV"/>
        </w:rPr>
        <w:t xml:space="preserve"> Šādi rezultāti var tikt izskaidroti ar dažādu ārsta pieredzi,</w:t>
      </w:r>
      <w:r w:rsidR="00BE6916">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kas veic ultrasonogrāfiju un dažādu tehnisku aprīkojumu, atkarībā no kā var ļoti atšķirties US bildes interpretācija. Savukārt </w:t>
      </w:r>
      <w:r w:rsidR="00BE6916">
        <w:rPr>
          <w:rFonts w:ascii="Times New Roman" w:hAnsi="Times New Roman" w:cs="Times New Roman"/>
          <w:sz w:val="24"/>
          <w:szCs w:val="24"/>
          <w:lang w:val="lv-LV"/>
        </w:rPr>
        <w:t>h</w:t>
      </w:r>
      <w:r w:rsidRPr="00321CBD">
        <w:rPr>
          <w:rFonts w:ascii="Times New Roman" w:hAnsi="Times New Roman" w:cs="Times New Roman"/>
          <w:sz w:val="24"/>
          <w:szCs w:val="24"/>
          <w:lang w:val="lv-LV"/>
        </w:rPr>
        <w:t>isterorezektoskopijas diagnostiskā vērtība, salīdzinot ar US metodi</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ir labāka un </w:t>
      </w:r>
      <w:r w:rsidR="00BE6916"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w:t>
      </w:r>
      <w:r w:rsidR="00BE6916" w:rsidRPr="00321CBD">
        <w:rPr>
          <w:rFonts w:ascii="Times New Roman" w:hAnsi="Times New Roman" w:cs="Times New Roman"/>
          <w:sz w:val="24"/>
          <w:szCs w:val="24"/>
          <w:lang w:val="lv-LV"/>
        </w:rPr>
        <w:t>dotajā</w:t>
      </w:r>
      <w:r w:rsidRPr="00321CBD">
        <w:rPr>
          <w:rFonts w:ascii="Times New Roman" w:hAnsi="Times New Roman" w:cs="Times New Roman"/>
          <w:sz w:val="24"/>
          <w:szCs w:val="24"/>
          <w:lang w:val="lv-LV"/>
        </w:rPr>
        <w:t xml:space="preserve"> pētījumā </w:t>
      </w:r>
      <w:r w:rsidR="00BE6916" w:rsidRPr="00321CBD">
        <w:rPr>
          <w:rFonts w:ascii="Times New Roman" w:hAnsi="Times New Roman" w:cs="Times New Roman"/>
          <w:sz w:val="24"/>
          <w:szCs w:val="24"/>
          <w:lang w:val="lv-LV"/>
        </w:rPr>
        <w:t>sekojošus</w:t>
      </w:r>
      <w:r w:rsidRPr="00321CBD">
        <w:rPr>
          <w:rFonts w:ascii="Times New Roman" w:hAnsi="Times New Roman" w:cs="Times New Roman"/>
          <w:sz w:val="24"/>
          <w:szCs w:val="24"/>
          <w:lang w:val="lv-LV"/>
        </w:rPr>
        <w:t xml:space="preserve"> </w:t>
      </w:r>
      <w:r w:rsidR="00BE6916">
        <w:rPr>
          <w:rFonts w:ascii="Times New Roman" w:hAnsi="Times New Roman" w:cs="Times New Roman"/>
          <w:sz w:val="24"/>
          <w:szCs w:val="24"/>
          <w:lang w:val="lv-LV"/>
        </w:rPr>
        <w:t>rādītājus</w:t>
      </w:r>
      <w:r w:rsidRPr="00321CBD">
        <w:rPr>
          <w:rFonts w:ascii="Times New Roman" w:hAnsi="Times New Roman" w:cs="Times New Roman"/>
          <w:sz w:val="24"/>
          <w:szCs w:val="24"/>
          <w:lang w:val="lv-LV"/>
        </w:rPr>
        <w:t xml:space="preserve">: </w:t>
      </w:r>
      <w:r w:rsidR="00BE6916">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ensitivitāte – 96,21%, </w:t>
      </w:r>
      <w:r w:rsidR="00BE6916">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pecifitāte – 95%, </w:t>
      </w:r>
      <w:r w:rsidR="00BE6916">
        <w:rPr>
          <w:rFonts w:ascii="Times New Roman" w:hAnsi="Times New Roman" w:cs="Times New Roman"/>
          <w:sz w:val="24"/>
          <w:szCs w:val="24"/>
          <w:lang w:val="lv-LV"/>
        </w:rPr>
        <w:t>p</w:t>
      </w:r>
      <w:r w:rsidR="00BE6916" w:rsidRPr="00321CBD">
        <w:rPr>
          <w:rFonts w:ascii="Times New Roman" w:hAnsi="Times New Roman" w:cs="Times New Roman"/>
          <w:sz w:val="24"/>
          <w:szCs w:val="24"/>
          <w:lang w:val="lv-LV"/>
        </w:rPr>
        <w:t>ozitīva</w:t>
      </w:r>
      <w:r w:rsidRPr="00321CBD">
        <w:rPr>
          <w:rFonts w:ascii="Times New Roman" w:hAnsi="Times New Roman" w:cs="Times New Roman"/>
          <w:sz w:val="24"/>
          <w:szCs w:val="24"/>
          <w:lang w:val="lv-LV"/>
        </w:rPr>
        <w:t xml:space="preserve"> paredzama vērtība - 98,45% un </w:t>
      </w:r>
      <w:r w:rsidR="00BE6916">
        <w:rPr>
          <w:rFonts w:ascii="Times New Roman" w:hAnsi="Times New Roman" w:cs="Times New Roman"/>
          <w:sz w:val="24"/>
          <w:szCs w:val="24"/>
          <w:lang w:val="lv-LV"/>
        </w:rPr>
        <w:t>n</w:t>
      </w:r>
      <w:r w:rsidRPr="00321CBD">
        <w:rPr>
          <w:rFonts w:ascii="Times New Roman" w:hAnsi="Times New Roman" w:cs="Times New Roman"/>
          <w:sz w:val="24"/>
          <w:szCs w:val="24"/>
          <w:lang w:val="lv-LV"/>
        </w:rPr>
        <w:t xml:space="preserve">egatīva paredzama vērtība  88,37%. Tas atbilst </w:t>
      </w:r>
      <w:r w:rsidR="00BE6916">
        <w:rPr>
          <w:rFonts w:ascii="Times New Roman" w:hAnsi="Times New Roman" w:cs="Times New Roman"/>
          <w:sz w:val="24"/>
          <w:szCs w:val="24"/>
          <w:lang w:val="lv-LV"/>
        </w:rPr>
        <w:t>rādījumiem</w:t>
      </w:r>
      <w:r w:rsidRPr="00321CBD">
        <w:rPr>
          <w:rFonts w:ascii="Times New Roman" w:hAnsi="Times New Roman" w:cs="Times New Roman"/>
          <w:sz w:val="24"/>
          <w:szCs w:val="24"/>
          <w:lang w:val="lv-LV"/>
        </w:rPr>
        <w:t xml:space="preserve">, kas tika iegūti citos </w:t>
      </w:r>
      <w:r w:rsidR="00BE6916" w:rsidRPr="00321CBD">
        <w:rPr>
          <w:rFonts w:ascii="Times New Roman" w:hAnsi="Times New Roman" w:cs="Times New Roman"/>
          <w:sz w:val="24"/>
          <w:szCs w:val="24"/>
          <w:lang w:val="lv-LV"/>
        </w:rPr>
        <w:t>pētījumos</w:t>
      </w:r>
      <w:r w:rsidRPr="00321CBD">
        <w:rPr>
          <w:rFonts w:ascii="Times New Roman" w:hAnsi="Times New Roman" w:cs="Times New Roman"/>
          <w:sz w:val="24"/>
          <w:szCs w:val="24"/>
          <w:lang w:val="lv-LV"/>
        </w:rPr>
        <w:t xml:space="preserve"> un paradīti meta-analīzēs. Tā </w:t>
      </w:r>
      <w:r w:rsidRPr="00321CBD">
        <w:rPr>
          <w:rFonts w:ascii="Times New Roman" w:hAnsi="Times New Roman" w:cs="Times New Roman"/>
          <w:i/>
          <w:sz w:val="24"/>
          <w:szCs w:val="24"/>
          <w:lang w:val="lv-LV"/>
        </w:rPr>
        <w:t>H.van Dongen</w:t>
      </w:r>
      <w:r w:rsidRPr="00321CBD">
        <w:rPr>
          <w:rFonts w:ascii="Times New Roman" w:hAnsi="Times New Roman" w:cs="Times New Roman"/>
          <w:sz w:val="24"/>
          <w:szCs w:val="24"/>
          <w:lang w:val="lv-LV"/>
        </w:rPr>
        <w:t xml:space="preserve"> savā meta</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analīzē nodemonstrēja histerorezektoskopijas sensitivitāti un specifitāti polipiem </w:t>
      </w:r>
      <w:r w:rsidR="00BE6916" w:rsidRPr="00321CBD">
        <w:rPr>
          <w:rFonts w:ascii="Times New Roman" w:hAnsi="Times New Roman" w:cs="Times New Roman"/>
          <w:sz w:val="24"/>
          <w:szCs w:val="24"/>
          <w:lang w:val="lv-LV"/>
        </w:rPr>
        <w:t xml:space="preserve">attiecīgi </w:t>
      </w:r>
      <w:r w:rsidRPr="00321CBD">
        <w:rPr>
          <w:rFonts w:ascii="Times New Roman" w:hAnsi="Times New Roman" w:cs="Times New Roman"/>
          <w:sz w:val="24"/>
          <w:szCs w:val="24"/>
          <w:lang w:val="lv-LV"/>
        </w:rPr>
        <w:t>94% un 92%.</w:t>
      </w:r>
      <w:r w:rsidR="00C717B0" w:rsidRPr="00C717B0">
        <w:rPr>
          <w:rFonts w:ascii="Times New Roman" w:hAnsi="Times New Roman" w:cs="Times New Roman"/>
          <w:sz w:val="24"/>
          <w:szCs w:val="24"/>
          <w:vertAlign w:val="superscript"/>
          <w:lang w:val="lv-LV"/>
        </w:rPr>
        <w:t>17</w:t>
      </w:r>
      <w:r w:rsidRPr="00321CBD">
        <w:rPr>
          <w:rFonts w:ascii="Times New Roman" w:hAnsi="Times New Roman" w:cs="Times New Roman"/>
          <w:sz w:val="24"/>
          <w:szCs w:val="24"/>
          <w:lang w:val="lv-LV"/>
        </w:rPr>
        <w:t xml:space="preserve"> Tas pierāda to, ka neskaidrā situācija, kad ar US metodi ir </w:t>
      </w:r>
      <w:r w:rsidR="00BE6916" w:rsidRPr="00321CBD">
        <w:rPr>
          <w:rFonts w:ascii="Times New Roman" w:hAnsi="Times New Roman" w:cs="Times New Roman"/>
          <w:sz w:val="24"/>
          <w:szCs w:val="24"/>
          <w:lang w:val="lv-LV"/>
        </w:rPr>
        <w:t>grūti</w:t>
      </w:r>
      <w:r w:rsidRPr="00321CBD">
        <w:rPr>
          <w:rFonts w:ascii="Times New Roman" w:hAnsi="Times New Roman" w:cs="Times New Roman"/>
          <w:sz w:val="24"/>
          <w:szCs w:val="24"/>
          <w:lang w:val="lv-LV"/>
        </w:rPr>
        <w:t xml:space="preserve"> noteikt patoloģiju, </w:t>
      </w:r>
      <w:r w:rsidR="00BE6916">
        <w:rPr>
          <w:rFonts w:ascii="Times New Roman" w:hAnsi="Times New Roman" w:cs="Times New Roman"/>
          <w:sz w:val="24"/>
          <w:szCs w:val="24"/>
          <w:lang w:val="lv-LV"/>
        </w:rPr>
        <w:t xml:space="preserve">ar </w:t>
      </w:r>
      <w:r w:rsidRPr="00321CBD">
        <w:rPr>
          <w:rFonts w:ascii="Times New Roman" w:hAnsi="Times New Roman" w:cs="Times New Roman"/>
          <w:sz w:val="24"/>
          <w:szCs w:val="24"/>
          <w:lang w:val="lv-LV"/>
        </w:rPr>
        <w:t>histerorezektoskopija</w:t>
      </w:r>
      <w:r w:rsidR="00775E14">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 </w:t>
      </w:r>
      <w:r w:rsidR="00BE6916">
        <w:rPr>
          <w:rFonts w:ascii="Times New Roman" w:hAnsi="Times New Roman" w:cs="Times New Roman"/>
          <w:sz w:val="24"/>
          <w:szCs w:val="24"/>
          <w:lang w:val="lv-LV"/>
        </w:rPr>
        <w:t>palīdzību to var izdarīt.</w:t>
      </w:r>
    </w:p>
    <w:p w14:paraId="40C40AB7" w14:textId="426B1DCA"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Nedaudz vairāk ka 1/3 pacientēm klāt polipam tika diagnosticēta arī cita patoloģija. Fakts, ka gandrīz puse gadījumos tā bija endometrija hiperplāzija liecina par to, ka</w:t>
      </w:r>
      <w:r w:rsidR="00BE6916">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iespējams, polips arī paliktu asimptomatisks, bet asiņošanu izsauca tieši endometrija hiperplāzija.</w:t>
      </w:r>
    </w:p>
    <w:p w14:paraId="3BDBE3E6" w14:textId="77777777" w:rsidR="00DA3820" w:rsidRPr="00321CBD" w:rsidRDefault="00DA3820" w:rsidP="00DA3820">
      <w:pPr>
        <w:rPr>
          <w:rFonts w:ascii="Times New Roman" w:hAnsi="Times New Roman" w:cs="Times New Roman"/>
          <w:i/>
          <w:sz w:val="24"/>
          <w:szCs w:val="24"/>
          <w:lang w:val="lv-LV"/>
        </w:rPr>
      </w:pPr>
      <w:r w:rsidRPr="00321CBD">
        <w:rPr>
          <w:rFonts w:ascii="Times New Roman" w:hAnsi="Times New Roman" w:cs="Times New Roman"/>
          <w:i/>
          <w:sz w:val="24"/>
          <w:szCs w:val="24"/>
          <w:lang w:val="lv-LV"/>
        </w:rPr>
        <w:br w:type="page"/>
      </w:r>
    </w:p>
    <w:p w14:paraId="7DC2CB16" w14:textId="77777777" w:rsidR="00DA3820" w:rsidRPr="00321CBD" w:rsidRDefault="00DA3820" w:rsidP="00DA38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lastRenderedPageBreak/>
        <w:t>PALM – Adenomioze</w:t>
      </w:r>
    </w:p>
    <w:p w14:paraId="34F617B5" w14:textId="19C34B6A"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Ar ultrasonogrāfijas metodi adenomioze bija konstatēta 5,2% pacienšu. Tas </w:t>
      </w:r>
      <w:r w:rsidR="00BE6916">
        <w:rPr>
          <w:rFonts w:ascii="Times New Roman" w:hAnsi="Times New Roman" w:cs="Times New Roman"/>
          <w:sz w:val="24"/>
          <w:szCs w:val="24"/>
          <w:lang w:val="lv-LV"/>
        </w:rPr>
        <w:t xml:space="preserve">lielākoties </w:t>
      </w:r>
      <w:r w:rsidRPr="00321CBD">
        <w:rPr>
          <w:rFonts w:ascii="Times New Roman" w:hAnsi="Times New Roman" w:cs="Times New Roman"/>
          <w:sz w:val="24"/>
          <w:szCs w:val="24"/>
          <w:lang w:val="lv-LV"/>
        </w:rPr>
        <w:t xml:space="preserve">atbilst pasaules datiem, kur adenomiozes izplatība svārstās no 5% </w:t>
      </w:r>
      <w:r w:rsidR="00BE6916" w:rsidRPr="00321CBD">
        <w:rPr>
          <w:rFonts w:ascii="Times New Roman" w:hAnsi="Times New Roman" w:cs="Times New Roman"/>
          <w:sz w:val="24"/>
          <w:szCs w:val="24"/>
          <w:lang w:val="lv-LV"/>
        </w:rPr>
        <w:t>līdz</w:t>
      </w:r>
      <w:r w:rsidRPr="00321CBD">
        <w:rPr>
          <w:rFonts w:ascii="Times New Roman" w:hAnsi="Times New Roman" w:cs="Times New Roman"/>
          <w:sz w:val="24"/>
          <w:szCs w:val="24"/>
          <w:lang w:val="lv-LV"/>
        </w:rPr>
        <w:t xml:space="preserve"> 70%. His</w:t>
      </w:r>
      <w:r w:rsidR="00B53CF5">
        <w:rPr>
          <w:rFonts w:ascii="Times New Roman" w:hAnsi="Times New Roman" w:cs="Times New Roman"/>
          <w:sz w:val="24"/>
          <w:szCs w:val="24"/>
          <w:lang w:val="lv-LV"/>
        </w:rPr>
        <w:t>terorezektoskopija nav pilnvērtīga</w:t>
      </w:r>
      <w:r w:rsidRPr="00321CBD">
        <w:rPr>
          <w:rFonts w:ascii="Times New Roman" w:hAnsi="Times New Roman" w:cs="Times New Roman"/>
          <w:sz w:val="24"/>
          <w:szCs w:val="24"/>
          <w:lang w:val="lv-LV"/>
        </w:rPr>
        <w:t xml:space="preserve"> </w:t>
      </w:r>
      <w:r w:rsidR="00BE6916" w:rsidRPr="00321CBD">
        <w:rPr>
          <w:rFonts w:ascii="Times New Roman" w:hAnsi="Times New Roman" w:cs="Times New Roman"/>
          <w:sz w:val="24"/>
          <w:szCs w:val="24"/>
          <w:lang w:val="lv-LV"/>
        </w:rPr>
        <w:t>metode</w:t>
      </w:r>
      <w:r w:rsidRPr="00321CBD">
        <w:rPr>
          <w:rFonts w:ascii="Times New Roman" w:hAnsi="Times New Roman" w:cs="Times New Roman"/>
          <w:sz w:val="24"/>
          <w:szCs w:val="24"/>
          <w:lang w:val="lv-LV"/>
        </w:rPr>
        <w:t xml:space="preserve"> adenomiozes diagnostikai. Arī histoloģiski to pierādīt </w:t>
      </w:r>
      <w:r w:rsidR="0008353B">
        <w:rPr>
          <w:rFonts w:ascii="Times New Roman" w:hAnsi="Times New Roman" w:cs="Times New Roman"/>
          <w:sz w:val="24"/>
          <w:szCs w:val="24"/>
          <w:lang w:val="lv-LV"/>
        </w:rPr>
        <w:t>vismaz bez</w:t>
      </w:r>
      <w:r w:rsidRPr="00321CBD">
        <w:rPr>
          <w:rFonts w:ascii="Times New Roman" w:hAnsi="Times New Roman" w:cs="Times New Roman"/>
          <w:sz w:val="24"/>
          <w:szCs w:val="24"/>
          <w:lang w:val="lv-LV"/>
        </w:rPr>
        <w:t xml:space="preserve"> dziļas biopsijas ir grūti. To atzīst arī PALM-COEIN klasifikācijas veidotāji, piebilstot, ka adenomiozes loma patoloģiskas dzemdes asiņošanas </w:t>
      </w:r>
      <w:r w:rsidR="00BE6916" w:rsidRPr="00321CBD">
        <w:rPr>
          <w:rFonts w:ascii="Times New Roman" w:hAnsi="Times New Roman" w:cs="Times New Roman"/>
          <w:sz w:val="24"/>
          <w:szCs w:val="24"/>
          <w:lang w:val="lv-LV"/>
        </w:rPr>
        <w:t>patoģenēzē</w:t>
      </w:r>
      <w:r w:rsidR="00C717B0">
        <w:rPr>
          <w:rFonts w:ascii="Times New Roman" w:hAnsi="Times New Roman" w:cs="Times New Roman"/>
          <w:sz w:val="24"/>
          <w:szCs w:val="24"/>
          <w:lang w:val="lv-LV"/>
        </w:rPr>
        <w:t xml:space="preserve"> ir neskaidra</w:t>
      </w:r>
      <w:r w:rsidRPr="00321CBD">
        <w:rPr>
          <w:rFonts w:ascii="Times New Roman" w:hAnsi="Times New Roman" w:cs="Times New Roman"/>
          <w:i/>
          <w:sz w:val="24"/>
          <w:szCs w:val="24"/>
          <w:lang w:val="lv-LV"/>
        </w:rPr>
        <w:t>.</w:t>
      </w:r>
      <w:r w:rsidR="00C717B0" w:rsidRPr="00C717B0">
        <w:rPr>
          <w:rFonts w:ascii="Times New Roman" w:hAnsi="Times New Roman" w:cs="Times New Roman"/>
          <w:sz w:val="24"/>
          <w:szCs w:val="24"/>
          <w:vertAlign w:val="superscript"/>
          <w:lang w:val="lv-LV"/>
        </w:rPr>
        <w:t>4</w:t>
      </w:r>
      <w:r w:rsidRPr="00321CBD">
        <w:rPr>
          <w:rFonts w:ascii="Times New Roman" w:hAnsi="Times New Roman" w:cs="Times New Roman"/>
          <w:i/>
          <w:sz w:val="24"/>
          <w:szCs w:val="24"/>
          <w:lang w:val="lv-LV"/>
        </w:rPr>
        <w:t xml:space="preserve"> </w:t>
      </w:r>
      <w:r w:rsidRPr="00321CBD">
        <w:rPr>
          <w:rFonts w:ascii="Times New Roman" w:hAnsi="Times New Roman" w:cs="Times New Roman"/>
          <w:sz w:val="24"/>
          <w:szCs w:val="24"/>
          <w:lang w:val="lv-LV"/>
        </w:rPr>
        <w:t xml:space="preserve">Datu trūkuma dēļ šī pētījuma ietvaros </w:t>
      </w:r>
      <w:r w:rsidR="00D373F3">
        <w:rPr>
          <w:rFonts w:ascii="Times New Roman" w:hAnsi="Times New Roman" w:cs="Times New Roman"/>
          <w:sz w:val="24"/>
          <w:szCs w:val="24"/>
          <w:lang w:val="lv-LV"/>
        </w:rPr>
        <w:t xml:space="preserve">nav iespējams </w:t>
      </w:r>
      <w:r w:rsidRPr="00321CBD">
        <w:rPr>
          <w:rFonts w:ascii="Times New Roman" w:hAnsi="Times New Roman" w:cs="Times New Roman"/>
          <w:sz w:val="24"/>
          <w:szCs w:val="24"/>
          <w:lang w:val="lv-LV"/>
        </w:rPr>
        <w:t xml:space="preserve">skaidri izpētīt </w:t>
      </w:r>
      <w:r w:rsidR="00D373F3">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denomiozes saistību ar patoloģisku asiņošanu. Adenomiozes loma gan patoloģiskas asiņošanas patoģenēzē, gan to saistība ar reproduktīvo vecumu ir pamats </w:t>
      </w:r>
      <w:r w:rsidR="00D373F3" w:rsidRPr="00321CBD">
        <w:rPr>
          <w:rFonts w:ascii="Times New Roman" w:hAnsi="Times New Roman" w:cs="Times New Roman"/>
          <w:sz w:val="24"/>
          <w:szCs w:val="24"/>
          <w:lang w:val="lv-LV"/>
        </w:rPr>
        <w:t>dziļākai</w:t>
      </w:r>
      <w:r w:rsidRPr="00321CBD">
        <w:rPr>
          <w:rFonts w:ascii="Times New Roman" w:hAnsi="Times New Roman" w:cs="Times New Roman"/>
          <w:sz w:val="24"/>
          <w:szCs w:val="24"/>
          <w:lang w:val="lv-LV"/>
        </w:rPr>
        <w:t xml:space="preserve"> izpētei.</w:t>
      </w:r>
    </w:p>
    <w:p w14:paraId="5FF8593D" w14:textId="77777777" w:rsidR="00DA3820" w:rsidRPr="00321CBD" w:rsidRDefault="00DA3820" w:rsidP="00DA38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 – Lejomioma</w:t>
      </w:r>
    </w:p>
    <w:p w14:paraId="558454DF" w14:textId="12EF53CF"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Kopumā dažāda tipa miomas tika konstatētas gandrīz trešdaļai pacienšu. Nedaudz mazāk k</w:t>
      </w:r>
      <w:r w:rsidR="00D373F3">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pusei no š</w:t>
      </w:r>
      <w:r w:rsidR="00D373F3">
        <w:rPr>
          <w:rFonts w:ascii="Times New Roman" w:hAnsi="Times New Roman" w:cs="Times New Roman"/>
          <w:sz w:val="24"/>
          <w:szCs w:val="24"/>
          <w:lang w:val="lv-LV"/>
        </w:rPr>
        <w:t>īm</w:t>
      </w:r>
      <w:r w:rsidRPr="00321CBD">
        <w:rPr>
          <w:rFonts w:ascii="Times New Roman" w:hAnsi="Times New Roman" w:cs="Times New Roman"/>
          <w:sz w:val="24"/>
          <w:szCs w:val="24"/>
          <w:lang w:val="lv-LV"/>
        </w:rPr>
        <w:t xml:space="preserve"> pacientēm miomas bija submukozas. </w:t>
      </w:r>
      <w:r w:rsidR="00D373F3" w:rsidRPr="00321CBD">
        <w:rPr>
          <w:rFonts w:ascii="Times New Roman" w:hAnsi="Times New Roman" w:cs="Times New Roman"/>
          <w:sz w:val="24"/>
          <w:szCs w:val="24"/>
          <w:lang w:val="lv-LV"/>
        </w:rPr>
        <w:t>Interesanti</w:t>
      </w:r>
      <w:r w:rsidRPr="00321CBD">
        <w:rPr>
          <w:rFonts w:ascii="Times New Roman" w:hAnsi="Times New Roman" w:cs="Times New Roman"/>
          <w:sz w:val="24"/>
          <w:szCs w:val="24"/>
          <w:lang w:val="lv-LV"/>
        </w:rPr>
        <w:t>, ka salīdzinot ar polipu</w:t>
      </w:r>
      <w:r w:rsidR="00D373F3">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submukozas miomas biežāk bija </w:t>
      </w:r>
      <w:r w:rsidR="00D373F3">
        <w:rPr>
          <w:rFonts w:ascii="Times New Roman" w:hAnsi="Times New Roman" w:cs="Times New Roman"/>
          <w:sz w:val="24"/>
          <w:szCs w:val="24"/>
          <w:lang w:val="lv-LV"/>
        </w:rPr>
        <w:t>m</w:t>
      </w:r>
      <w:r w:rsidR="00D373F3" w:rsidRPr="00321CBD">
        <w:rPr>
          <w:rFonts w:ascii="Times New Roman" w:hAnsi="Times New Roman" w:cs="Times New Roman"/>
          <w:sz w:val="24"/>
          <w:szCs w:val="24"/>
          <w:lang w:val="lv-LV"/>
        </w:rPr>
        <w:t>enstruējošām</w:t>
      </w:r>
      <w:r w:rsidRPr="00321CBD">
        <w:rPr>
          <w:rFonts w:ascii="Times New Roman" w:hAnsi="Times New Roman" w:cs="Times New Roman"/>
          <w:sz w:val="24"/>
          <w:szCs w:val="24"/>
          <w:lang w:val="lv-LV"/>
        </w:rPr>
        <w:t xml:space="preserve"> sievietēm vecumā no 46 līdz 55 gadi</w:t>
      </w:r>
      <w:r w:rsidR="00D373F3">
        <w:rPr>
          <w:rFonts w:ascii="Times New Roman" w:hAnsi="Times New Roman" w:cs="Times New Roman"/>
          <w:sz w:val="24"/>
          <w:szCs w:val="24"/>
          <w:lang w:val="lv-LV"/>
        </w:rPr>
        <w:t>em</w:t>
      </w:r>
      <w:r w:rsidRPr="00321CBD">
        <w:rPr>
          <w:rFonts w:ascii="Times New Roman" w:hAnsi="Times New Roman" w:cs="Times New Roman"/>
          <w:sz w:val="24"/>
          <w:szCs w:val="24"/>
          <w:lang w:val="lv-LV"/>
        </w:rPr>
        <w:t>, bet endometrija polipi lielākā daļā bija sievietēm līdz 45 gadu vecumā. Tas varētu būt papildus diagnostisks kritērijs ambulator</w:t>
      </w:r>
      <w:r w:rsidR="0008353B">
        <w:rPr>
          <w:rFonts w:ascii="Times New Roman" w:hAnsi="Times New Roman" w:cs="Times New Roman"/>
          <w:sz w:val="24"/>
          <w:szCs w:val="24"/>
          <w:lang w:val="lv-LV"/>
        </w:rPr>
        <w:t>ajā praksē pie neskaidra attēla</w:t>
      </w:r>
      <w:r w:rsidRPr="00321CBD">
        <w:rPr>
          <w:rFonts w:ascii="Times New Roman" w:hAnsi="Times New Roman" w:cs="Times New Roman"/>
          <w:sz w:val="24"/>
          <w:szCs w:val="24"/>
          <w:lang w:val="lv-LV"/>
        </w:rPr>
        <w:t xml:space="preserve"> ultrasonogrāfijas izmeklējumā. To</w:t>
      </w:r>
      <w:r w:rsidR="00D373F3">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savukārt ir svarīgi zināt operējošam </w:t>
      </w:r>
      <w:r w:rsidR="00D373F3" w:rsidRPr="00321CBD">
        <w:rPr>
          <w:rFonts w:ascii="Times New Roman" w:hAnsi="Times New Roman" w:cs="Times New Roman"/>
          <w:sz w:val="24"/>
          <w:szCs w:val="24"/>
          <w:lang w:val="lv-LV"/>
        </w:rPr>
        <w:t>ginekologam</w:t>
      </w:r>
      <w:r w:rsidRPr="00321CBD">
        <w:rPr>
          <w:rFonts w:ascii="Times New Roman" w:hAnsi="Times New Roman" w:cs="Times New Roman"/>
          <w:sz w:val="24"/>
          <w:szCs w:val="24"/>
          <w:lang w:val="lv-LV"/>
        </w:rPr>
        <w:t>, jo miomas mezgla enukleācija</w:t>
      </w:r>
      <w:r w:rsidR="00D373F3">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ir pieskaitāma pie sarežģītākām operācijām nekā polipektomija. Interesanti, ka arī citos pētījumos miomas prevalences procents ir līdzīgs. </w:t>
      </w:r>
      <w:r w:rsidRPr="00321CBD">
        <w:rPr>
          <w:rFonts w:ascii="Times New Roman" w:hAnsi="Times New Roman" w:cs="Times New Roman"/>
          <w:i/>
          <w:sz w:val="24"/>
          <w:szCs w:val="24"/>
          <w:lang w:val="lv-LV"/>
        </w:rPr>
        <w:t xml:space="preserve">Van den Bosch </w:t>
      </w:r>
      <w:r w:rsidRPr="00321CBD">
        <w:rPr>
          <w:rFonts w:ascii="Times New Roman" w:hAnsi="Times New Roman" w:cs="Times New Roman"/>
          <w:sz w:val="24"/>
          <w:szCs w:val="24"/>
          <w:lang w:val="lv-LV"/>
        </w:rPr>
        <w:t>pētījumā submukozie mezgli visvairāk konstatēti premenopauzes vecuma sievietēm, kas atbilst šajā pētījumā iegūtiem datiem. Savukārt menopauzes vecuma sievietēm submukozās miomas konstatētas 14% gadījumos, kas ir tikai nedaudz vairāk, nekā šajā pētījumā iegūts.</w:t>
      </w:r>
      <w:r w:rsidR="00C717B0" w:rsidRPr="00C717B0">
        <w:rPr>
          <w:rFonts w:ascii="Times New Roman" w:hAnsi="Times New Roman" w:cs="Times New Roman"/>
          <w:sz w:val="24"/>
          <w:szCs w:val="24"/>
          <w:vertAlign w:val="superscript"/>
          <w:lang w:val="lv-LV"/>
        </w:rPr>
        <w:t>15</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Allameh et al</w:t>
      </w:r>
      <w:r w:rsidRPr="00321CBD">
        <w:rPr>
          <w:rFonts w:ascii="Times New Roman" w:hAnsi="Times New Roman" w:cs="Times New Roman"/>
          <w:sz w:val="24"/>
          <w:szCs w:val="24"/>
          <w:lang w:val="lv-LV"/>
        </w:rPr>
        <w:t xml:space="preserve"> savā pētījuma submukozās miomas konstatēja 20,9% gadījumos. Un arī šeit miomas tika konstatētas vairāk s</w:t>
      </w:r>
      <w:r w:rsidR="00C717B0">
        <w:rPr>
          <w:rFonts w:ascii="Times New Roman" w:hAnsi="Times New Roman" w:cs="Times New Roman"/>
          <w:sz w:val="24"/>
          <w:szCs w:val="24"/>
          <w:lang w:val="lv-LV"/>
        </w:rPr>
        <w:t>ievietēm perimenopauzes vecumā</w:t>
      </w:r>
      <w:r w:rsidRPr="00321CBD">
        <w:rPr>
          <w:rFonts w:ascii="Times New Roman" w:hAnsi="Times New Roman" w:cs="Times New Roman"/>
          <w:sz w:val="24"/>
          <w:szCs w:val="24"/>
          <w:lang w:val="lv-LV"/>
        </w:rPr>
        <w:t>.</w:t>
      </w:r>
      <w:r w:rsidR="00C717B0" w:rsidRPr="00C717B0">
        <w:rPr>
          <w:rFonts w:ascii="Times New Roman" w:hAnsi="Times New Roman" w:cs="Times New Roman"/>
          <w:sz w:val="24"/>
          <w:szCs w:val="24"/>
          <w:vertAlign w:val="superscript"/>
          <w:lang w:val="lv-LV"/>
        </w:rPr>
        <w:t>9</w:t>
      </w:r>
      <w:r w:rsidRPr="00321CBD">
        <w:rPr>
          <w:rFonts w:ascii="Times New Roman" w:hAnsi="Times New Roman" w:cs="Times New Roman"/>
          <w:sz w:val="24"/>
          <w:szCs w:val="24"/>
          <w:lang w:val="lv-LV"/>
        </w:rPr>
        <w:t xml:space="preserve"> </w:t>
      </w:r>
      <w:r w:rsidR="00D373F3" w:rsidRPr="00321CBD">
        <w:rPr>
          <w:rFonts w:ascii="Times New Roman" w:hAnsi="Times New Roman" w:cs="Times New Roman"/>
          <w:sz w:val="24"/>
          <w:szCs w:val="24"/>
          <w:lang w:val="lv-LV"/>
        </w:rPr>
        <w:t>Līdzīgi</w:t>
      </w:r>
      <w:r w:rsidRPr="00321CBD">
        <w:rPr>
          <w:rFonts w:ascii="Times New Roman" w:hAnsi="Times New Roman" w:cs="Times New Roman"/>
          <w:sz w:val="24"/>
          <w:szCs w:val="24"/>
          <w:lang w:val="lv-LV"/>
        </w:rPr>
        <w:t xml:space="preserve"> k</w:t>
      </w:r>
      <w:r w:rsidR="00D373F3">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gadījumā ar polipu, tikai 2/3 no sievietēm </w:t>
      </w:r>
      <w:r w:rsidR="00D373F3">
        <w:rPr>
          <w:rFonts w:ascii="Times New Roman" w:hAnsi="Times New Roman" w:cs="Times New Roman"/>
          <w:sz w:val="24"/>
          <w:szCs w:val="24"/>
          <w:lang w:val="lv-LV"/>
        </w:rPr>
        <w:t xml:space="preserve">izteica sūdzības dodoties </w:t>
      </w:r>
      <w:r w:rsidRPr="00321CBD">
        <w:rPr>
          <w:rFonts w:ascii="Times New Roman" w:hAnsi="Times New Roman" w:cs="Times New Roman"/>
          <w:sz w:val="24"/>
          <w:szCs w:val="24"/>
          <w:lang w:val="lv-LV"/>
        </w:rPr>
        <w:t xml:space="preserve">pie ārsta un vairākumu </w:t>
      </w:r>
      <w:r w:rsidR="00D373F3"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sievietes ar menstruācijām. Tā kā mioma ir labdabīga patoloģija, asimptomatiskām pacientēm, it īpaši menopauzē</w:t>
      </w:r>
      <w:r w:rsidR="00D373F3">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būtu iespējama nogaidoša taktika ar regulāru novērošan</w:t>
      </w:r>
      <w:r w:rsidR="00D373F3">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pie ginekologa, </w:t>
      </w:r>
      <w:r w:rsidR="00D373F3">
        <w:rPr>
          <w:rFonts w:ascii="Times New Roman" w:hAnsi="Times New Roman" w:cs="Times New Roman"/>
          <w:sz w:val="24"/>
          <w:szCs w:val="24"/>
          <w:lang w:val="lv-LV"/>
        </w:rPr>
        <w:t>ar</w:t>
      </w:r>
      <w:r w:rsidR="00D373F3"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nosacījum</w:t>
      </w:r>
      <w:r w:rsidR="00D373F3">
        <w:rPr>
          <w:rFonts w:ascii="Times New Roman" w:hAnsi="Times New Roman" w:cs="Times New Roman"/>
          <w:sz w:val="24"/>
          <w:szCs w:val="24"/>
          <w:lang w:val="lv-LV"/>
        </w:rPr>
        <w:t>u</w:t>
      </w:r>
      <w:r w:rsidRPr="00321CBD">
        <w:rPr>
          <w:rFonts w:ascii="Times New Roman" w:hAnsi="Times New Roman" w:cs="Times New Roman"/>
          <w:sz w:val="24"/>
          <w:szCs w:val="24"/>
          <w:lang w:val="lv-LV"/>
        </w:rPr>
        <w:t>, ka ir laba diagnostika.</w:t>
      </w:r>
    </w:p>
    <w:p w14:paraId="50B8D570" w14:textId="0A5D8CBB"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Lejomiomai gan </w:t>
      </w:r>
      <w:r w:rsidR="00D373F3">
        <w:rPr>
          <w:rFonts w:ascii="Times New Roman" w:hAnsi="Times New Roman" w:cs="Times New Roman"/>
          <w:sz w:val="24"/>
          <w:szCs w:val="24"/>
          <w:lang w:val="lv-LV"/>
        </w:rPr>
        <w:t>u</w:t>
      </w:r>
      <w:r w:rsidRPr="00321CBD">
        <w:rPr>
          <w:rFonts w:ascii="Times New Roman" w:hAnsi="Times New Roman" w:cs="Times New Roman"/>
          <w:sz w:val="24"/>
          <w:szCs w:val="24"/>
          <w:lang w:val="lv-LV"/>
        </w:rPr>
        <w:t>ltrasonogr</w:t>
      </w:r>
      <w:r w:rsidR="00D373F3">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fijas, gan </w:t>
      </w:r>
      <w:r w:rsidR="00D373F3">
        <w:rPr>
          <w:rFonts w:ascii="Times New Roman" w:hAnsi="Times New Roman" w:cs="Times New Roman"/>
          <w:sz w:val="24"/>
          <w:szCs w:val="24"/>
          <w:lang w:val="lv-LV"/>
        </w:rPr>
        <w:t>h</w:t>
      </w:r>
      <w:r w:rsidRPr="00321CBD">
        <w:rPr>
          <w:rFonts w:ascii="Times New Roman" w:hAnsi="Times New Roman" w:cs="Times New Roman"/>
          <w:sz w:val="24"/>
          <w:szCs w:val="24"/>
          <w:lang w:val="lv-LV"/>
        </w:rPr>
        <w:t xml:space="preserve">isterorezektoskopijas diagnostiskā vērtība bija diezgan augsta. Salīdzinoši ar polipu, kur </w:t>
      </w:r>
      <w:r w:rsidR="00D373F3">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ensitivitāte un </w:t>
      </w:r>
      <w:r w:rsidR="00D373F3">
        <w:rPr>
          <w:rFonts w:ascii="Times New Roman" w:hAnsi="Times New Roman" w:cs="Times New Roman"/>
          <w:sz w:val="24"/>
          <w:szCs w:val="24"/>
          <w:lang w:val="lv-LV"/>
        </w:rPr>
        <w:t>p</w:t>
      </w:r>
      <w:r w:rsidRPr="00321CBD">
        <w:rPr>
          <w:rFonts w:ascii="Times New Roman" w:hAnsi="Times New Roman" w:cs="Times New Roman"/>
          <w:sz w:val="24"/>
          <w:szCs w:val="24"/>
          <w:lang w:val="lv-LV"/>
        </w:rPr>
        <w:t xml:space="preserve">ozitīva paredzama vērtība </w:t>
      </w:r>
      <w:r w:rsidR="00D373F3"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tikai 70%, </w:t>
      </w:r>
      <w:r w:rsidRPr="00321CBD">
        <w:rPr>
          <w:rFonts w:ascii="Times New Roman" w:hAnsi="Times New Roman" w:cs="Times New Roman"/>
          <w:sz w:val="24"/>
          <w:szCs w:val="24"/>
          <w:lang w:val="lv-LV"/>
        </w:rPr>
        <w:lastRenderedPageBreak/>
        <w:t xml:space="preserve">šeit tās jau </w:t>
      </w:r>
      <w:r w:rsidR="00D373F3">
        <w:rPr>
          <w:rFonts w:ascii="Times New Roman" w:hAnsi="Times New Roman" w:cs="Times New Roman"/>
          <w:sz w:val="24"/>
          <w:szCs w:val="24"/>
          <w:lang w:val="lv-LV"/>
        </w:rPr>
        <w:t>bija</w:t>
      </w:r>
      <w:r w:rsidR="00D373F3"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tuvu 90% robežai un </w:t>
      </w:r>
      <w:r w:rsidR="00D373F3"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w:t>
      </w:r>
      <w:r w:rsidR="00D373F3">
        <w:rPr>
          <w:rFonts w:ascii="Times New Roman" w:hAnsi="Times New Roman" w:cs="Times New Roman"/>
          <w:sz w:val="24"/>
          <w:szCs w:val="24"/>
          <w:lang w:val="lv-LV"/>
        </w:rPr>
        <w:t>attiecīgi</w:t>
      </w:r>
      <w:r w:rsidR="00D373F3"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87,50% un 84%</w:t>
      </w:r>
      <w:r w:rsidR="00D373F3">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Specifitāte un </w:t>
      </w:r>
      <w:r w:rsidR="00D373F3">
        <w:rPr>
          <w:rFonts w:ascii="Times New Roman" w:hAnsi="Times New Roman" w:cs="Times New Roman"/>
          <w:sz w:val="24"/>
          <w:szCs w:val="24"/>
          <w:lang w:val="lv-LV"/>
        </w:rPr>
        <w:t>n</w:t>
      </w:r>
      <w:r w:rsidRPr="00321CBD">
        <w:rPr>
          <w:rFonts w:ascii="Times New Roman" w:hAnsi="Times New Roman" w:cs="Times New Roman"/>
          <w:sz w:val="24"/>
          <w:szCs w:val="24"/>
          <w:lang w:val="lv-LV"/>
        </w:rPr>
        <w:t xml:space="preserve">egatīva paredzama vērtība bija ļoti tuvu 98%, kas parāda, ka šī </w:t>
      </w:r>
      <w:r w:rsidR="00D373F3" w:rsidRPr="00321CBD">
        <w:rPr>
          <w:rFonts w:ascii="Times New Roman" w:hAnsi="Times New Roman" w:cs="Times New Roman"/>
          <w:sz w:val="24"/>
          <w:szCs w:val="24"/>
          <w:lang w:val="lv-LV"/>
        </w:rPr>
        <w:t>patoloģija</w:t>
      </w:r>
      <w:r w:rsidRPr="00321CBD">
        <w:rPr>
          <w:rFonts w:ascii="Times New Roman" w:hAnsi="Times New Roman" w:cs="Times New Roman"/>
          <w:sz w:val="24"/>
          <w:szCs w:val="24"/>
          <w:lang w:val="lv-LV"/>
        </w:rPr>
        <w:t xml:space="preserve"> ir diezgan viegli diagnosticējama un diferencējama ultrasonogrāfiski, un tas </w:t>
      </w:r>
      <w:r w:rsidR="00D8512E">
        <w:rPr>
          <w:rFonts w:ascii="Times New Roman" w:hAnsi="Times New Roman" w:cs="Times New Roman"/>
          <w:sz w:val="24"/>
          <w:szCs w:val="24"/>
          <w:lang w:val="lv-LV"/>
        </w:rPr>
        <w:t xml:space="preserve">var </w:t>
      </w:r>
      <w:r w:rsidRPr="00321CBD">
        <w:rPr>
          <w:rFonts w:ascii="Times New Roman" w:hAnsi="Times New Roman" w:cs="Times New Roman"/>
          <w:sz w:val="24"/>
          <w:szCs w:val="24"/>
          <w:lang w:val="lv-LV"/>
        </w:rPr>
        <w:t xml:space="preserve">ietekmēt </w:t>
      </w:r>
      <w:r w:rsidR="00D373F3" w:rsidRPr="00321CBD">
        <w:rPr>
          <w:rFonts w:ascii="Times New Roman" w:hAnsi="Times New Roman" w:cs="Times New Roman"/>
          <w:sz w:val="24"/>
          <w:szCs w:val="24"/>
          <w:lang w:val="lv-LV"/>
        </w:rPr>
        <w:t>tālāko</w:t>
      </w:r>
      <w:r w:rsidRPr="00321CBD">
        <w:rPr>
          <w:rFonts w:ascii="Times New Roman" w:hAnsi="Times New Roman" w:cs="Times New Roman"/>
          <w:sz w:val="24"/>
          <w:szCs w:val="24"/>
          <w:lang w:val="lv-LV"/>
        </w:rPr>
        <w:t xml:space="preserve"> pacienta vadīšanas taktiku. Histerorezektoskopija, neskatoties uz sasniegtiem US rezultātiem</w:t>
      </w:r>
      <w:r w:rsidR="00D373F3">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bija vēl labāka attiecībā uz miomas mezglu diagnostiku. Visos četros parametros rezultāti bija </w:t>
      </w:r>
      <w:r w:rsidR="00D373F3">
        <w:rPr>
          <w:rFonts w:ascii="Times New Roman" w:hAnsi="Times New Roman" w:cs="Times New Roman"/>
          <w:sz w:val="24"/>
          <w:szCs w:val="24"/>
          <w:lang w:val="lv-LV"/>
        </w:rPr>
        <w:t>augstāki</w:t>
      </w:r>
      <w:r w:rsidR="00D373F3"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par 95%.  Tas parāda</w:t>
      </w:r>
      <w:r w:rsidR="00D373F3">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ne tikai labu diagnostisku vērtību šai metodei, bet arī norāda uz ārstējoš</w:t>
      </w:r>
      <w:r w:rsidR="00D373F3">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ārsta kompetences līmeni izmantojot šo metodi, ko var novērtēt kā ļoti </w:t>
      </w:r>
      <w:r w:rsidR="00D373F3" w:rsidRPr="00321CBD">
        <w:rPr>
          <w:rFonts w:ascii="Times New Roman" w:hAnsi="Times New Roman" w:cs="Times New Roman"/>
          <w:sz w:val="24"/>
          <w:szCs w:val="24"/>
          <w:lang w:val="lv-LV"/>
        </w:rPr>
        <w:t>augstu</w:t>
      </w:r>
      <w:r w:rsidRPr="00321CBD">
        <w:rPr>
          <w:rFonts w:ascii="Times New Roman" w:hAnsi="Times New Roman" w:cs="Times New Roman"/>
          <w:sz w:val="24"/>
          <w:szCs w:val="24"/>
          <w:lang w:val="lv-LV"/>
        </w:rPr>
        <w:t xml:space="preserve">. Jo, </w:t>
      </w:r>
      <w:r w:rsidR="00D373F3" w:rsidRPr="00321CBD">
        <w:rPr>
          <w:rFonts w:ascii="Times New Roman" w:hAnsi="Times New Roman" w:cs="Times New Roman"/>
          <w:sz w:val="24"/>
          <w:szCs w:val="24"/>
          <w:lang w:val="lv-LV"/>
        </w:rPr>
        <w:t>piemēram</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Laichandani and Phillips</w:t>
      </w:r>
      <w:r w:rsidRPr="00321CBD">
        <w:rPr>
          <w:rFonts w:ascii="Times New Roman" w:hAnsi="Times New Roman" w:cs="Times New Roman"/>
          <w:sz w:val="24"/>
          <w:szCs w:val="24"/>
          <w:lang w:val="lv-LV"/>
        </w:rPr>
        <w:t xml:space="preserve"> savā apskatā attiecībā uz miomā</w:t>
      </w:r>
      <w:r w:rsidR="00D373F3">
        <w:rPr>
          <w:rFonts w:ascii="Times New Roman" w:hAnsi="Times New Roman" w:cs="Times New Roman"/>
          <w:sz w:val="24"/>
          <w:szCs w:val="24"/>
          <w:lang w:val="lv-LV"/>
        </w:rPr>
        <w:t>m</w:t>
      </w:r>
      <w:r w:rsidRPr="00321CBD">
        <w:rPr>
          <w:rFonts w:ascii="Times New Roman" w:hAnsi="Times New Roman" w:cs="Times New Roman"/>
          <w:sz w:val="24"/>
          <w:szCs w:val="24"/>
          <w:lang w:val="lv-LV"/>
        </w:rPr>
        <w:t xml:space="preserve"> min sensitivitāti un specifitāti tikai 82% un 87% attiecīgi</w:t>
      </w:r>
      <w:r w:rsidR="00D373F3">
        <w:rPr>
          <w:rFonts w:ascii="Times New Roman" w:hAnsi="Times New Roman" w:cs="Times New Roman"/>
          <w:sz w:val="24"/>
          <w:szCs w:val="24"/>
          <w:lang w:val="lv-LV"/>
        </w:rPr>
        <w:t>.</w:t>
      </w:r>
      <w:r w:rsidR="00C717B0" w:rsidRPr="00C717B0">
        <w:rPr>
          <w:rFonts w:ascii="Times New Roman" w:hAnsi="Times New Roman" w:cs="Times New Roman"/>
          <w:sz w:val="24"/>
          <w:szCs w:val="24"/>
          <w:vertAlign w:val="superscript"/>
          <w:lang w:val="lv-LV"/>
        </w:rPr>
        <w:t>12</w:t>
      </w:r>
      <w:r w:rsidRPr="00321CBD">
        <w:rPr>
          <w:rFonts w:ascii="Times New Roman" w:hAnsi="Times New Roman" w:cs="Times New Roman"/>
          <w:sz w:val="24"/>
          <w:szCs w:val="24"/>
          <w:lang w:val="lv-LV"/>
        </w:rPr>
        <w:t xml:space="preserve"> Tas ir par 10% mazāk kā iegūts šajā pētījumā. </w:t>
      </w:r>
      <w:r w:rsidRPr="00321CBD">
        <w:rPr>
          <w:rFonts w:ascii="Times New Roman" w:hAnsi="Times New Roman" w:cs="Times New Roman"/>
          <w:i/>
          <w:sz w:val="24"/>
          <w:szCs w:val="24"/>
          <w:lang w:val="lv-LV"/>
        </w:rPr>
        <w:t>Dinic et al</w:t>
      </w:r>
      <w:r w:rsidRPr="00321CBD">
        <w:rPr>
          <w:rFonts w:ascii="Times New Roman" w:hAnsi="Times New Roman" w:cs="Times New Roman"/>
          <w:sz w:val="24"/>
          <w:szCs w:val="24"/>
          <w:lang w:val="lv-LV"/>
        </w:rPr>
        <w:t xml:space="preserve"> nodemonstrēja nedaudz labākus rezultātus attiecība uz sensitivitāti un negatīvu paredzamu vērtību, bet tas </w:t>
      </w:r>
      <w:r w:rsidR="00D373F3" w:rsidRPr="00321CBD">
        <w:rPr>
          <w:rFonts w:ascii="Times New Roman" w:hAnsi="Times New Roman" w:cs="Times New Roman"/>
          <w:sz w:val="24"/>
          <w:szCs w:val="24"/>
          <w:lang w:val="lv-LV"/>
        </w:rPr>
        <w:t>iekļaujas</w:t>
      </w:r>
      <w:r w:rsidRPr="00321CBD">
        <w:rPr>
          <w:rFonts w:ascii="Times New Roman" w:hAnsi="Times New Roman" w:cs="Times New Roman"/>
          <w:sz w:val="24"/>
          <w:szCs w:val="24"/>
          <w:lang w:val="lv-LV"/>
        </w:rPr>
        <w:t xml:space="preserve"> 4% diapazonā, ko nevajadzētu uzskatīt par nozīmīgu</w:t>
      </w:r>
      <w:r w:rsidR="00D373F3">
        <w:rPr>
          <w:rFonts w:ascii="Times New Roman" w:hAnsi="Times New Roman" w:cs="Times New Roman"/>
          <w:sz w:val="24"/>
          <w:szCs w:val="24"/>
          <w:lang w:val="lv-LV"/>
        </w:rPr>
        <w:t>.</w:t>
      </w:r>
      <w:r w:rsidR="00C717B0" w:rsidRPr="00C717B0">
        <w:rPr>
          <w:rFonts w:ascii="Times New Roman" w:hAnsi="Times New Roman" w:cs="Times New Roman"/>
          <w:sz w:val="24"/>
          <w:szCs w:val="24"/>
          <w:vertAlign w:val="superscript"/>
          <w:lang w:val="lv-LV"/>
        </w:rPr>
        <w:t>1</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Allameh et al </w:t>
      </w:r>
      <w:r w:rsidRPr="00321CBD">
        <w:rPr>
          <w:rFonts w:ascii="Times New Roman" w:hAnsi="Times New Roman" w:cs="Times New Roman"/>
          <w:sz w:val="24"/>
          <w:szCs w:val="24"/>
          <w:lang w:val="lv-LV"/>
        </w:rPr>
        <w:t xml:space="preserve">pētījumā skaitļi arī bija </w:t>
      </w:r>
      <w:r w:rsidR="00D373F3" w:rsidRPr="00321CBD">
        <w:rPr>
          <w:rFonts w:ascii="Times New Roman" w:hAnsi="Times New Roman" w:cs="Times New Roman"/>
          <w:sz w:val="24"/>
          <w:szCs w:val="24"/>
          <w:lang w:val="lv-LV"/>
        </w:rPr>
        <w:t>salīdzināmi</w:t>
      </w:r>
      <w:r w:rsidR="00D373F3">
        <w:rPr>
          <w:rFonts w:ascii="Times New Roman" w:hAnsi="Times New Roman" w:cs="Times New Roman"/>
          <w:sz w:val="24"/>
          <w:szCs w:val="24"/>
          <w:lang w:val="lv-LV"/>
        </w:rPr>
        <w:t>.</w:t>
      </w:r>
      <w:r w:rsidR="00C717B0" w:rsidRPr="00C717B0">
        <w:rPr>
          <w:rFonts w:ascii="Times New Roman" w:hAnsi="Times New Roman" w:cs="Times New Roman"/>
          <w:sz w:val="24"/>
          <w:szCs w:val="24"/>
          <w:vertAlign w:val="superscript"/>
          <w:lang w:val="lv-LV"/>
        </w:rPr>
        <w:t>9</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H van Dongen </w:t>
      </w:r>
      <w:r w:rsidRPr="00321CBD">
        <w:rPr>
          <w:rFonts w:ascii="Times New Roman" w:hAnsi="Times New Roman" w:cs="Times New Roman"/>
          <w:sz w:val="24"/>
          <w:szCs w:val="24"/>
          <w:lang w:val="lv-LV"/>
        </w:rPr>
        <w:t>savā meta-analīze arī uzrāda datus no 87% līdz 95%.</w:t>
      </w:r>
      <w:r w:rsidR="00C717B0" w:rsidRPr="00C717B0">
        <w:rPr>
          <w:rFonts w:ascii="Times New Roman" w:hAnsi="Times New Roman" w:cs="Times New Roman"/>
          <w:sz w:val="24"/>
          <w:szCs w:val="24"/>
          <w:vertAlign w:val="superscript"/>
          <w:lang w:val="lv-LV"/>
        </w:rPr>
        <w:t>17</w:t>
      </w:r>
    </w:p>
    <w:p w14:paraId="5DE10F24" w14:textId="0BDE5E7D" w:rsidR="00DA3820" w:rsidRPr="00321CBD" w:rsidRDefault="00D373F3"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Atšķirī</w:t>
      </w:r>
      <w:r>
        <w:rPr>
          <w:rFonts w:ascii="Times New Roman" w:hAnsi="Times New Roman" w:cs="Times New Roman"/>
          <w:sz w:val="24"/>
          <w:szCs w:val="24"/>
          <w:lang w:val="lv-LV"/>
        </w:rPr>
        <w:t>bā</w:t>
      </w:r>
      <w:r w:rsidRPr="00321CBD">
        <w:rPr>
          <w:rFonts w:ascii="Times New Roman" w:hAnsi="Times New Roman" w:cs="Times New Roman"/>
          <w:sz w:val="24"/>
          <w:szCs w:val="24"/>
          <w:lang w:val="lv-LV"/>
        </w:rPr>
        <w:t xml:space="preserve"> </w:t>
      </w:r>
      <w:r w:rsidR="00DA3820" w:rsidRPr="00321CBD">
        <w:rPr>
          <w:rFonts w:ascii="Times New Roman" w:hAnsi="Times New Roman" w:cs="Times New Roman"/>
          <w:sz w:val="24"/>
          <w:szCs w:val="24"/>
          <w:lang w:val="lv-LV"/>
        </w:rPr>
        <w:t>no polipa</w:t>
      </w:r>
      <w:r>
        <w:rPr>
          <w:rFonts w:ascii="Times New Roman" w:hAnsi="Times New Roman" w:cs="Times New Roman"/>
          <w:sz w:val="24"/>
          <w:szCs w:val="24"/>
          <w:lang w:val="lv-LV"/>
        </w:rPr>
        <w:t>,</w:t>
      </w:r>
      <w:r w:rsidR="00DA3820" w:rsidRPr="00321CBD">
        <w:rPr>
          <w:rFonts w:ascii="Times New Roman" w:hAnsi="Times New Roman" w:cs="Times New Roman"/>
          <w:sz w:val="24"/>
          <w:szCs w:val="24"/>
          <w:lang w:val="lv-LV"/>
        </w:rPr>
        <w:t xml:space="preserve"> miomai </w:t>
      </w:r>
      <w:r w:rsidRPr="00321CBD">
        <w:rPr>
          <w:rFonts w:ascii="Times New Roman" w:hAnsi="Times New Roman" w:cs="Times New Roman"/>
          <w:sz w:val="24"/>
          <w:szCs w:val="24"/>
          <w:lang w:val="lv-LV"/>
        </w:rPr>
        <w:t>biežāk</w:t>
      </w:r>
      <w:r w:rsidR="00DA3820" w:rsidRPr="00321CBD">
        <w:rPr>
          <w:rFonts w:ascii="Times New Roman" w:hAnsi="Times New Roman" w:cs="Times New Roman"/>
          <w:sz w:val="24"/>
          <w:szCs w:val="24"/>
          <w:lang w:val="lv-LV"/>
        </w:rPr>
        <w:t xml:space="preserve"> tika atrasta blakus patoloģija. Tā </w:t>
      </w:r>
      <w:r w:rsidRPr="00321CBD">
        <w:rPr>
          <w:rFonts w:ascii="Times New Roman" w:hAnsi="Times New Roman" w:cs="Times New Roman"/>
          <w:sz w:val="24"/>
          <w:szCs w:val="24"/>
          <w:lang w:val="lv-LV"/>
        </w:rPr>
        <w:t>sastādīja</w:t>
      </w:r>
      <w:r w:rsidR="00DA3820" w:rsidRPr="00321CBD">
        <w:rPr>
          <w:rFonts w:ascii="Times New Roman" w:hAnsi="Times New Roman" w:cs="Times New Roman"/>
          <w:sz w:val="24"/>
          <w:szCs w:val="24"/>
          <w:lang w:val="lv-LV"/>
        </w:rPr>
        <w:t xml:space="preserve"> 54,2%. Lielāk</w:t>
      </w:r>
      <w:r>
        <w:rPr>
          <w:rFonts w:ascii="Times New Roman" w:hAnsi="Times New Roman" w:cs="Times New Roman"/>
          <w:sz w:val="24"/>
          <w:szCs w:val="24"/>
          <w:lang w:val="lv-LV"/>
        </w:rPr>
        <w:t>o</w:t>
      </w:r>
      <w:r w:rsidR="00DA3820" w:rsidRPr="00321CBD">
        <w:rPr>
          <w:rFonts w:ascii="Times New Roman" w:hAnsi="Times New Roman" w:cs="Times New Roman"/>
          <w:sz w:val="24"/>
          <w:szCs w:val="24"/>
          <w:lang w:val="lv-LV"/>
        </w:rPr>
        <w:t xml:space="preserve"> daļu no tā </w:t>
      </w:r>
      <w:r w:rsidRPr="00321CBD">
        <w:rPr>
          <w:rFonts w:ascii="Times New Roman" w:hAnsi="Times New Roman" w:cs="Times New Roman"/>
          <w:sz w:val="24"/>
          <w:szCs w:val="24"/>
          <w:lang w:val="lv-LV"/>
        </w:rPr>
        <w:t>sastādīja</w:t>
      </w:r>
      <w:r w:rsidR="00DA3820" w:rsidRPr="00321CBD">
        <w:rPr>
          <w:rFonts w:ascii="Times New Roman" w:hAnsi="Times New Roman" w:cs="Times New Roman"/>
          <w:sz w:val="24"/>
          <w:szCs w:val="24"/>
          <w:lang w:val="lv-LV"/>
        </w:rPr>
        <w:t xml:space="preserve"> endometrija polipi, kas atšķiras no polipa grupas, kur lielāk</w:t>
      </w:r>
      <w:r>
        <w:rPr>
          <w:rFonts w:ascii="Times New Roman" w:hAnsi="Times New Roman" w:cs="Times New Roman"/>
          <w:sz w:val="24"/>
          <w:szCs w:val="24"/>
          <w:lang w:val="lv-LV"/>
        </w:rPr>
        <w:t>o</w:t>
      </w:r>
      <w:r w:rsidR="00DA3820" w:rsidRPr="00321CBD">
        <w:rPr>
          <w:rFonts w:ascii="Times New Roman" w:hAnsi="Times New Roman" w:cs="Times New Roman"/>
          <w:sz w:val="24"/>
          <w:szCs w:val="24"/>
          <w:lang w:val="lv-LV"/>
        </w:rPr>
        <w:t xml:space="preserve"> daļu </w:t>
      </w:r>
      <w:r w:rsidRPr="00321CBD">
        <w:rPr>
          <w:rFonts w:ascii="Times New Roman" w:hAnsi="Times New Roman" w:cs="Times New Roman"/>
          <w:sz w:val="24"/>
          <w:szCs w:val="24"/>
          <w:lang w:val="lv-LV"/>
        </w:rPr>
        <w:t>sastādīja</w:t>
      </w:r>
      <w:r w:rsidR="00DA3820" w:rsidRPr="00321CBD">
        <w:rPr>
          <w:rFonts w:ascii="Times New Roman" w:hAnsi="Times New Roman" w:cs="Times New Roman"/>
          <w:sz w:val="24"/>
          <w:szCs w:val="24"/>
          <w:lang w:val="lv-LV"/>
        </w:rPr>
        <w:t xml:space="preserve"> endometrija hiperplāzija. To var skaidrot ar to, k</w:t>
      </w:r>
      <w:r>
        <w:rPr>
          <w:rFonts w:ascii="Times New Roman" w:hAnsi="Times New Roman" w:cs="Times New Roman"/>
          <w:sz w:val="24"/>
          <w:szCs w:val="24"/>
          <w:lang w:val="lv-LV"/>
        </w:rPr>
        <w:t>a</w:t>
      </w:r>
      <w:r w:rsidR="00DA3820" w:rsidRPr="00321CBD">
        <w:rPr>
          <w:rFonts w:ascii="Times New Roman" w:hAnsi="Times New Roman" w:cs="Times New Roman"/>
          <w:sz w:val="24"/>
          <w:szCs w:val="24"/>
          <w:lang w:val="lv-LV"/>
        </w:rPr>
        <w:t xml:space="preserve"> gan endometrija polips, gan endometrija hiperplāzija biežāk tiek </w:t>
      </w:r>
      <w:r>
        <w:rPr>
          <w:rFonts w:ascii="Times New Roman" w:hAnsi="Times New Roman" w:cs="Times New Roman"/>
          <w:sz w:val="24"/>
          <w:szCs w:val="24"/>
          <w:lang w:val="lv-LV"/>
        </w:rPr>
        <w:t>novēroti</w:t>
      </w:r>
      <w:r w:rsidRPr="00321CBD">
        <w:rPr>
          <w:rFonts w:ascii="Times New Roman" w:hAnsi="Times New Roman" w:cs="Times New Roman"/>
          <w:sz w:val="24"/>
          <w:szCs w:val="24"/>
          <w:lang w:val="lv-LV"/>
        </w:rPr>
        <w:t xml:space="preserve"> </w:t>
      </w:r>
      <w:r w:rsidR="00DA3820" w:rsidRPr="00321CBD">
        <w:rPr>
          <w:rFonts w:ascii="Times New Roman" w:hAnsi="Times New Roman" w:cs="Times New Roman"/>
          <w:sz w:val="24"/>
          <w:szCs w:val="24"/>
          <w:lang w:val="lv-LV"/>
        </w:rPr>
        <w:t>jaunām sievietēm līdz 45 gadu vecum</w:t>
      </w:r>
      <w:r>
        <w:rPr>
          <w:rFonts w:ascii="Times New Roman" w:hAnsi="Times New Roman" w:cs="Times New Roman"/>
          <w:sz w:val="24"/>
          <w:szCs w:val="24"/>
          <w:lang w:val="lv-LV"/>
        </w:rPr>
        <w:t>am</w:t>
      </w:r>
      <w:r w:rsidR="00DA3820" w:rsidRPr="00321CBD">
        <w:rPr>
          <w:rFonts w:ascii="Times New Roman" w:hAnsi="Times New Roman" w:cs="Times New Roman"/>
          <w:sz w:val="24"/>
          <w:szCs w:val="24"/>
          <w:lang w:val="lv-LV"/>
        </w:rPr>
        <w:t xml:space="preserve">, bet miomas </w:t>
      </w:r>
      <w:r>
        <w:rPr>
          <w:rFonts w:ascii="Times New Roman" w:hAnsi="Times New Roman" w:cs="Times New Roman"/>
          <w:sz w:val="24"/>
          <w:szCs w:val="24"/>
          <w:lang w:val="lv-LV"/>
        </w:rPr>
        <w:t xml:space="preserve">- </w:t>
      </w:r>
      <w:r w:rsidR="00DA3820" w:rsidRPr="00321CBD">
        <w:rPr>
          <w:rFonts w:ascii="Times New Roman" w:hAnsi="Times New Roman" w:cs="Times New Roman"/>
          <w:sz w:val="24"/>
          <w:szCs w:val="24"/>
          <w:lang w:val="lv-LV"/>
        </w:rPr>
        <w:t>vecāk</w:t>
      </w:r>
      <w:r>
        <w:rPr>
          <w:rFonts w:ascii="Times New Roman" w:hAnsi="Times New Roman" w:cs="Times New Roman"/>
          <w:sz w:val="24"/>
          <w:szCs w:val="24"/>
          <w:lang w:val="lv-LV"/>
        </w:rPr>
        <w:t>ā</w:t>
      </w:r>
      <w:r w:rsidR="00DA3820" w:rsidRPr="00321CBD">
        <w:rPr>
          <w:rFonts w:ascii="Times New Roman" w:hAnsi="Times New Roman" w:cs="Times New Roman"/>
          <w:sz w:val="24"/>
          <w:szCs w:val="24"/>
          <w:lang w:val="lv-LV"/>
        </w:rPr>
        <w:t xml:space="preserve">m sievietēm. </w:t>
      </w:r>
      <w:r w:rsidR="00DA3820" w:rsidRPr="00321CBD">
        <w:rPr>
          <w:rFonts w:ascii="Times New Roman" w:hAnsi="Times New Roman" w:cs="Times New Roman"/>
          <w:i/>
          <w:sz w:val="24"/>
          <w:szCs w:val="24"/>
          <w:lang w:val="lv-LV"/>
        </w:rPr>
        <w:t>Van den Bosch et al</w:t>
      </w:r>
      <w:r w:rsidR="00DA3820" w:rsidRPr="00321CBD">
        <w:rPr>
          <w:rFonts w:ascii="Times New Roman" w:hAnsi="Times New Roman" w:cs="Times New Roman"/>
          <w:sz w:val="24"/>
          <w:szCs w:val="24"/>
          <w:lang w:val="lv-LV"/>
        </w:rPr>
        <w:t xml:space="preserve"> atzīmē polipu</w:t>
      </w:r>
      <w:r>
        <w:rPr>
          <w:rFonts w:ascii="Times New Roman" w:hAnsi="Times New Roman" w:cs="Times New Roman"/>
          <w:sz w:val="24"/>
          <w:szCs w:val="24"/>
          <w:lang w:val="lv-LV"/>
        </w:rPr>
        <w:t xml:space="preserve"> </w:t>
      </w:r>
      <w:r w:rsidR="00DA3820" w:rsidRPr="00321CBD">
        <w:rPr>
          <w:rFonts w:ascii="Times New Roman" w:hAnsi="Times New Roman" w:cs="Times New Roman"/>
          <w:sz w:val="24"/>
          <w:szCs w:val="24"/>
          <w:lang w:val="lv-LV"/>
        </w:rPr>
        <w:t>kā biežāk atrast</w:t>
      </w:r>
      <w:r>
        <w:rPr>
          <w:rFonts w:ascii="Times New Roman" w:hAnsi="Times New Roman" w:cs="Times New Roman"/>
          <w:sz w:val="24"/>
          <w:szCs w:val="24"/>
          <w:lang w:val="lv-LV"/>
        </w:rPr>
        <w:t>o</w:t>
      </w:r>
      <w:r w:rsidR="00DA3820" w:rsidRPr="00321CBD">
        <w:rPr>
          <w:rFonts w:ascii="Times New Roman" w:hAnsi="Times New Roman" w:cs="Times New Roman"/>
          <w:sz w:val="24"/>
          <w:szCs w:val="24"/>
          <w:lang w:val="lv-LV"/>
        </w:rPr>
        <w:t xml:space="preserve"> </w:t>
      </w:r>
      <w:r w:rsidR="00D8512E">
        <w:rPr>
          <w:rFonts w:ascii="Times New Roman" w:hAnsi="Times New Roman" w:cs="Times New Roman"/>
          <w:sz w:val="24"/>
          <w:szCs w:val="24"/>
          <w:lang w:val="lv-LV"/>
        </w:rPr>
        <w:t xml:space="preserve">blakus </w:t>
      </w:r>
      <w:r w:rsidR="00DA3820" w:rsidRPr="00321CBD">
        <w:rPr>
          <w:rFonts w:ascii="Times New Roman" w:hAnsi="Times New Roman" w:cs="Times New Roman"/>
          <w:sz w:val="24"/>
          <w:szCs w:val="24"/>
          <w:lang w:val="lv-LV"/>
        </w:rPr>
        <w:t>patoloģiju gan sievietēm menopauz</w:t>
      </w:r>
      <w:r>
        <w:rPr>
          <w:rFonts w:ascii="Times New Roman" w:hAnsi="Times New Roman" w:cs="Times New Roman"/>
          <w:sz w:val="24"/>
          <w:szCs w:val="24"/>
          <w:lang w:val="lv-LV"/>
        </w:rPr>
        <w:t>es periodā</w:t>
      </w:r>
      <w:r w:rsidR="00C717B0">
        <w:rPr>
          <w:rFonts w:ascii="Times New Roman" w:hAnsi="Times New Roman" w:cs="Times New Roman"/>
          <w:sz w:val="24"/>
          <w:szCs w:val="24"/>
          <w:lang w:val="lv-LV"/>
        </w:rPr>
        <w:t>, gan reproduktīvā vecumā.</w:t>
      </w:r>
      <w:r w:rsidR="00C717B0" w:rsidRPr="00C717B0">
        <w:rPr>
          <w:rFonts w:ascii="Times New Roman" w:hAnsi="Times New Roman" w:cs="Times New Roman"/>
          <w:sz w:val="24"/>
          <w:szCs w:val="24"/>
          <w:vertAlign w:val="superscript"/>
          <w:lang w:val="lv-LV"/>
        </w:rPr>
        <w:t>15</w:t>
      </w:r>
    </w:p>
    <w:p w14:paraId="1E0EAFAC" w14:textId="77777777" w:rsidR="00DA3820" w:rsidRPr="00321CBD" w:rsidRDefault="00DA3820" w:rsidP="00DA3820">
      <w:pPr>
        <w:spacing w:line="360" w:lineRule="auto"/>
        <w:jc w:val="both"/>
        <w:rPr>
          <w:rFonts w:ascii="Times New Roman" w:hAnsi="Times New Roman" w:cs="Times New Roman"/>
          <w:i/>
          <w:sz w:val="24"/>
          <w:szCs w:val="24"/>
          <w:lang w:val="lv-LV"/>
        </w:rPr>
      </w:pPr>
      <w:r w:rsidRPr="00321CBD">
        <w:rPr>
          <w:rFonts w:ascii="Times New Roman" w:hAnsi="Times New Roman" w:cs="Times New Roman"/>
          <w:i/>
          <w:sz w:val="24"/>
          <w:szCs w:val="24"/>
          <w:lang w:val="lv-LV"/>
        </w:rPr>
        <w:t>PALM – Hiperplāzija</w:t>
      </w:r>
    </w:p>
    <w:p w14:paraId="347619EC" w14:textId="30069B2B"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Aizdomas par endometrija hiperplāziju ar ultrasonogrāfu vai ar histeroskopa palīdzību bija izteiktas ap 30% gadījumos. Tikai 66% no tām</w:t>
      </w:r>
      <w:r w:rsidR="006214D8">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tika pierādīta</w:t>
      </w:r>
      <w:r w:rsidR="006214D8">
        <w:rPr>
          <w:rFonts w:ascii="Times New Roman" w:hAnsi="Times New Roman" w:cs="Times New Roman"/>
          <w:sz w:val="24"/>
          <w:szCs w:val="24"/>
          <w:lang w:val="lv-LV"/>
        </w:rPr>
        <w:t>s</w:t>
      </w:r>
      <w:r w:rsidRPr="00321CBD">
        <w:rPr>
          <w:rFonts w:ascii="Times New Roman" w:hAnsi="Times New Roman" w:cs="Times New Roman"/>
          <w:sz w:val="24"/>
          <w:szCs w:val="24"/>
          <w:lang w:val="lv-LV"/>
        </w:rPr>
        <w:t xml:space="preserve"> arī histoloģiski. Tas norāda uz nelielu hiperdiagnostiku no abu metožu puses. </w:t>
      </w:r>
      <w:r w:rsidR="006214D8">
        <w:rPr>
          <w:rFonts w:ascii="Times New Roman" w:hAnsi="Times New Roman" w:cs="Times New Roman"/>
          <w:sz w:val="24"/>
          <w:szCs w:val="24"/>
          <w:lang w:val="lv-LV"/>
        </w:rPr>
        <w:t>Bet</w:t>
      </w:r>
      <w:r w:rsidRPr="00321CBD">
        <w:rPr>
          <w:rFonts w:ascii="Times New Roman" w:hAnsi="Times New Roman" w:cs="Times New Roman"/>
          <w:sz w:val="24"/>
          <w:szCs w:val="24"/>
          <w:lang w:val="lv-LV"/>
        </w:rPr>
        <w:t xml:space="preserve"> ņemot vērā, ka atsevišķus hiperplāzijas tipus var uzskatīt par endometrija vēžu prekursoriem, šāda piesardzība būtu attaisnojama. 60% gadījumos histoloģiski pierādīta endometrija hiperplāzija bija sievietēm vecumā līdz 45 gadiem. Tas pamato histeroskopijas plašāko izmantošanu jaunām sievietēm ar patoloģisku dzemdes asiņošanu, lai vizualizētu patoloģisku endometriju un paņemtu biopsiju no aizdomīg</w:t>
      </w:r>
      <w:r w:rsidR="006214D8">
        <w:rPr>
          <w:rFonts w:ascii="Times New Roman" w:hAnsi="Times New Roman" w:cs="Times New Roman"/>
          <w:sz w:val="24"/>
          <w:szCs w:val="24"/>
          <w:lang w:val="lv-LV"/>
        </w:rPr>
        <w:t>ā</w:t>
      </w:r>
      <w:r w:rsidRPr="00321CBD">
        <w:rPr>
          <w:rFonts w:ascii="Times New Roman" w:hAnsi="Times New Roman" w:cs="Times New Roman"/>
          <w:sz w:val="24"/>
          <w:szCs w:val="24"/>
          <w:lang w:val="lv-LV"/>
        </w:rPr>
        <w:t>s vietas. Interesanti, ka gan kop</w:t>
      </w:r>
      <w:r w:rsidR="006214D8">
        <w:rPr>
          <w:rFonts w:ascii="Times New Roman" w:hAnsi="Times New Roman" w:cs="Times New Roman"/>
          <w:sz w:val="24"/>
          <w:szCs w:val="24"/>
          <w:lang w:val="lv-LV"/>
        </w:rPr>
        <w:t>īgi</w:t>
      </w:r>
      <w:r w:rsidRPr="00321CBD">
        <w:rPr>
          <w:rFonts w:ascii="Times New Roman" w:hAnsi="Times New Roman" w:cs="Times New Roman"/>
          <w:sz w:val="24"/>
          <w:szCs w:val="24"/>
          <w:lang w:val="lv-LV"/>
        </w:rPr>
        <w:t xml:space="preserve">, gan arī </w:t>
      </w:r>
      <w:r w:rsidR="006214D8" w:rsidRPr="00321CBD">
        <w:rPr>
          <w:rFonts w:ascii="Times New Roman" w:hAnsi="Times New Roman" w:cs="Times New Roman"/>
          <w:sz w:val="24"/>
          <w:szCs w:val="24"/>
          <w:lang w:val="lv-LV"/>
        </w:rPr>
        <w:t>atsevišķi</w:t>
      </w:r>
      <w:r w:rsidRPr="00321CBD">
        <w:rPr>
          <w:rFonts w:ascii="Times New Roman" w:hAnsi="Times New Roman" w:cs="Times New Roman"/>
          <w:sz w:val="24"/>
          <w:szCs w:val="24"/>
          <w:lang w:val="lv-LV"/>
        </w:rPr>
        <w:t xml:space="preserve"> hiperplāzijas gadījumā netika atrasta atšķirība starp </w:t>
      </w:r>
      <w:r w:rsidR="006214D8" w:rsidRPr="00321CBD">
        <w:rPr>
          <w:rFonts w:ascii="Times New Roman" w:hAnsi="Times New Roman" w:cs="Times New Roman"/>
          <w:sz w:val="24"/>
          <w:szCs w:val="24"/>
          <w:lang w:val="lv-LV"/>
        </w:rPr>
        <w:t>sūdzību</w:t>
      </w:r>
      <w:r w:rsidRPr="00321CBD">
        <w:rPr>
          <w:rFonts w:ascii="Times New Roman" w:hAnsi="Times New Roman" w:cs="Times New Roman"/>
          <w:sz w:val="24"/>
          <w:szCs w:val="24"/>
          <w:lang w:val="lv-LV"/>
        </w:rPr>
        <w:t xml:space="preserve"> esamību un palielinātu svaru. </w:t>
      </w:r>
      <w:r w:rsidR="006214D8">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rī pati hiperplāzija bija apmēram vienādi konstatēta dažādu svaru grupu sievietēm. Kā jau minēts, šis fakts būtu </w:t>
      </w:r>
      <w:r w:rsidR="006214D8" w:rsidRPr="00321CBD">
        <w:rPr>
          <w:rFonts w:ascii="Times New Roman" w:hAnsi="Times New Roman" w:cs="Times New Roman"/>
          <w:sz w:val="24"/>
          <w:szCs w:val="24"/>
          <w:lang w:val="lv-LV"/>
        </w:rPr>
        <w:t>tālāk</w:t>
      </w:r>
      <w:r w:rsidRPr="00321CBD">
        <w:rPr>
          <w:rFonts w:ascii="Times New Roman" w:hAnsi="Times New Roman" w:cs="Times New Roman"/>
          <w:sz w:val="24"/>
          <w:szCs w:val="24"/>
          <w:lang w:val="lv-LV"/>
        </w:rPr>
        <w:t xml:space="preserve"> izmeklējams, lai pierādītu vai </w:t>
      </w:r>
      <w:r w:rsidRPr="00321CBD">
        <w:rPr>
          <w:rFonts w:ascii="Times New Roman" w:hAnsi="Times New Roman" w:cs="Times New Roman"/>
          <w:sz w:val="24"/>
          <w:szCs w:val="24"/>
          <w:lang w:val="lv-LV"/>
        </w:rPr>
        <w:lastRenderedPageBreak/>
        <w:t xml:space="preserve">atmestu šo rezultātu. </w:t>
      </w:r>
      <w:r w:rsidR="006214D8">
        <w:rPr>
          <w:rFonts w:ascii="Times New Roman" w:hAnsi="Times New Roman" w:cs="Times New Roman"/>
          <w:sz w:val="24"/>
          <w:szCs w:val="24"/>
          <w:lang w:val="lv-LV"/>
        </w:rPr>
        <w:t>Tomēr</w:t>
      </w:r>
      <w:r w:rsidR="006214D8"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ir atzīmējams fakts, ka abi kompleksās hiperplāzijas gadījumi dotajā pētījumā tika konstatēti palielināta svara sievietēm. </w:t>
      </w:r>
    </w:p>
    <w:p w14:paraId="31CD54AB" w14:textId="18C100CF"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Hiperplāzija</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salīdzinot ar citām patoloģijām</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bija visbiežāk saistīta ar sūdzībām </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ap 80% gadījumos</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kas var tikt uzskatīts kā papildus diagnostisks faktors izmeklējot sievieti ar </w:t>
      </w:r>
      <w:r w:rsidR="006214D8" w:rsidRPr="00321CBD">
        <w:rPr>
          <w:rFonts w:ascii="Times New Roman" w:hAnsi="Times New Roman" w:cs="Times New Roman"/>
          <w:sz w:val="24"/>
          <w:szCs w:val="24"/>
          <w:lang w:val="lv-LV"/>
        </w:rPr>
        <w:t>patoloģisku</w:t>
      </w:r>
      <w:r w:rsidRPr="00321CBD">
        <w:rPr>
          <w:rFonts w:ascii="Times New Roman" w:hAnsi="Times New Roman" w:cs="Times New Roman"/>
          <w:sz w:val="24"/>
          <w:szCs w:val="24"/>
          <w:lang w:val="lv-LV"/>
        </w:rPr>
        <w:t xml:space="preserve"> dzemdes asiņošanu. Citos pētījumos dati attiecībā uz hiperplāzijas izplatību ir diezgan dažādi un </w:t>
      </w:r>
      <w:r w:rsidR="006214D8" w:rsidRPr="00321CBD">
        <w:rPr>
          <w:rFonts w:ascii="Times New Roman" w:hAnsi="Times New Roman" w:cs="Times New Roman"/>
          <w:sz w:val="24"/>
          <w:szCs w:val="24"/>
          <w:lang w:val="lv-LV"/>
        </w:rPr>
        <w:t>svārstās</w:t>
      </w:r>
      <w:r w:rsidRPr="00321CBD">
        <w:rPr>
          <w:rFonts w:ascii="Times New Roman" w:hAnsi="Times New Roman" w:cs="Times New Roman"/>
          <w:sz w:val="24"/>
          <w:szCs w:val="24"/>
          <w:lang w:val="lv-LV"/>
        </w:rPr>
        <w:t xml:space="preserve"> no 3% līdz 30%. Tā</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piemēram</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Guin et al</w:t>
      </w:r>
      <w:r w:rsidRPr="00321CBD">
        <w:rPr>
          <w:rFonts w:ascii="Times New Roman" w:hAnsi="Times New Roman" w:cs="Times New Roman"/>
          <w:sz w:val="24"/>
          <w:szCs w:val="24"/>
          <w:lang w:val="lv-LV"/>
        </w:rPr>
        <w:t xml:space="preserve"> </w:t>
      </w:r>
      <w:r w:rsidR="006214D8">
        <w:rPr>
          <w:rFonts w:ascii="Times New Roman" w:hAnsi="Times New Roman" w:cs="Times New Roman"/>
          <w:sz w:val="24"/>
          <w:szCs w:val="24"/>
          <w:lang w:val="lv-LV"/>
        </w:rPr>
        <w:t>norādīja</w:t>
      </w:r>
      <w:r w:rsidRPr="00321CBD">
        <w:rPr>
          <w:rFonts w:ascii="Times New Roman" w:hAnsi="Times New Roman" w:cs="Times New Roman"/>
          <w:sz w:val="24"/>
          <w:szCs w:val="24"/>
          <w:lang w:val="lv-LV"/>
        </w:rPr>
        <w:t xml:space="preserve"> hiperplāziju 30% gadījumos, kas viņu pētījumā bija biežākā atrasta </w:t>
      </w:r>
      <w:r w:rsidR="006214D8" w:rsidRPr="00321CBD">
        <w:rPr>
          <w:rFonts w:ascii="Times New Roman" w:hAnsi="Times New Roman" w:cs="Times New Roman"/>
          <w:sz w:val="24"/>
          <w:szCs w:val="24"/>
          <w:lang w:val="lv-LV"/>
        </w:rPr>
        <w:t>patoloģija</w:t>
      </w:r>
      <w:r w:rsidR="006214D8">
        <w:rPr>
          <w:rFonts w:ascii="Times New Roman" w:hAnsi="Times New Roman" w:cs="Times New Roman"/>
          <w:sz w:val="24"/>
          <w:szCs w:val="24"/>
          <w:lang w:val="lv-LV"/>
        </w:rPr>
        <w:t>.</w:t>
      </w:r>
      <w:r w:rsidR="00DA402F" w:rsidRPr="00DA402F">
        <w:rPr>
          <w:rFonts w:ascii="Times New Roman" w:hAnsi="Times New Roman" w:cs="Times New Roman"/>
          <w:sz w:val="24"/>
          <w:szCs w:val="24"/>
          <w:vertAlign w:val="superscript"/>
          <w:lang w:val="lv-LV"/>
        </w:rPr>
        <w:t>11</w:t>
      </w:r>
      <w:r w:rsidR="006214D8">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Van den Bosch </w:t>
      </w:r>
      <w:r w:rsidRPr="00321CBD">
        <w:rPr>
          <w:rFonts w:ascii="Times New Roman" w:hAnsi="Times New Roman" w:cs="Times New Roman"/>
          <w:sz w:val="24"/>
          <w:szCs w:val="24"/>
          <w:lang w:val="lv-LV"/>
        </w:rPr>
        <w:t>pētījumā endometrija hiperplāzija bez atipijas tika konstatēta  tikai 3,9% gadī</w:t>
      </w:r>
      <w:r w:rsidR="00DA402F">
        <w:rPr>
          <w:rFonts w:ascii="Times New Roman" w:hAnsi="Times New Roman" w:cs="Times New Roman"/>
          <w:sz w:val="24"/>
          <w:szCs w:val="24"/>
          <w:lang w:val="lv-LV"/>
        </w:rPr>
        <w:t>jumos un ar atipiju tikai 0,1%</w:t>
      </w:r>
      <w:r w:rsidR="006214D8">
        <w:rPr>
          <w:rFonts w:ascii="Times New Roman" w:hAnsi="Times New Roman" w:cs="Times New Roman"/>
          <w:sz w:val="24"/>
          <w:szCs w:val="24"/>
          <w:lang w:val="lv-LV"/>
        </w:rPr>
        <w:t>.</w:t>
      </w:r>
      <w:r w:rsidR="00DA402F" w:rsidRPr="00DA402F">
        <w:rPr>
          <w:rFonts w:ascii="Times New Roman" w:hAnsi="Times New Roman" w:cs="Times New Roman"/>
          <w:sz w:val="24"/>
          <w:szCs w:val="24"/>
          <w:vertAlign w:val="superscript"/>
          <w:lang w:val="lv-LV"/>
        </w:rPr>
        <w:t>15</w:t>
      </w:r>
      <w:r w:rsidR="00DA402F">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Patil et al</w:t>
      </w:r>
      <w:r w:rsidRPr="00321CBD">
        <w:rPr>
          <w:rFonts w:ascii="Times New Roman" w:hAnsi="Times New Roman" w:cs="Times New Roman"/>
          <w:sz w:val="24"/>
          <w:szCs w:val="24"/>
          <w:lang w:val="lv-LV"/>
        </w:rPr>
        <w:t xml:space="preserve"> histoloģiski </w:t>
      </w:r>
      <w:r w:rsidR="006214D8" w:rsidRPr="00321CBD">
        <w:rPr>
          <w:rFonts w:ascii="Times New Roman" w:hAnsi="Times New Roman" w:cs="Times New Roman"/>
          <w:sz w:val="24"/>
          <w:szCs w:val="24"/>
          <w:lang w:val="lv-LV"/>
        </w:rPr>
        <w:t>pieradīja</w:t>
      </w:r>
      <w:r w:rsidRPr="00321CBD">
        <w:rPr>
          <w:rFonts w:ascii="Times New Roman" w:hAnsi="Times New Roman" w:cs="Times New Roman"/>
          <w:sz w:val="24"/>
          <w:szCs w:val="24"/>
          <w:lang w:val="lv-LV"/>
        </w:rPr>
        <w:t xml:space="preserve"> hiperplāziju 20% gadījumos, pie kam 16% no tām bija bez atipijas.</w:t>
      </w:r>
      <w:r w:rsidR="00DA402F" w:rsidRPr="00DA402F">
        <w:rPr>
          <w:rFonts w:ascii="Times New Roman" w:hAnsi="Times New Roman" w:cs="Times New Roman"/>
          <w:sz w:val="24"/>
          <w:szCs w:val="24"/>
          <w:vertAlign w:val="superscript"/>
          <w:lang w:val="lv-LV"/>
        </w:rPr>
        <w:t>14</w:t>
      </w:r>
      <w:r w:rsidRPr="00321CBD">
        <w:rPr>
          <w:rFonts w:ascii="Times New Roman" w:hAnsi="Times New Roman" w:cs="Times New Roman"/>
          <w:sz w:val="24"/>
          <w:szCs w:val="24"/>
          <w:lang w:val="lv-LV"/>
        </w:rPr>
        <w:t xml:space="preserve"> Šādu </w:t>
      </w:r>
      <w:r w:rsidR="006214D8">
        <w:rPr>
          <w:rFonts w:ascii="Times New Roman" w:hAnsi="Times New Roman" w:cs="Times New Roman"/>
          <w:sz w:val="24"/>
          <w:szCs w:val="24"/>
          <w:lang w:val="lv-LV"/>
        </w:rPr>
        <w:t>rādījumu</w:t>
      </w:r>
      <w:r w:rsidR="006214D8" w:rsidRPr="00321CBD">
        <w:rPr>
          <w:rFonts w:ascii="Times New Roman" w:hAnsi="Times New Roman" w:cs="Times New Roman"/>
          <w:sz w:val="24"/>
          <w:szCs w:val="24"/>
          <w:lang w:val="lv-LV"/>
        </w:rPr>
        <w:t xml:space="preserve"> </w:t>
      </w:r>
      <w:r w:rsidR="006214D8">
        <w:rPr>
          <w:rFonts w:ascii="Times New Roman" w:hAnsi="Times New Roman" w:cs="Times New Roman"/>
          <w:sz w:val="24"/>
          <w:szCs w:val="24"/>
          <w:lang w:val="lv-LV"/>
        </w:rPr>
        <w:t>dažādību</w:t>
      </w:r>
      <w:r w:rsidR="006214D8"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varētu izskaidrot ar populācijas un pētījuma kritēriju izvēles īpatnībām.</w:t>
      </w:r>
    </w:p>
    <w:p w14:paraId="2D35E71C" w14:textId="45134509"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No diagnostikas viedokļa hiperplāzija bija visgrūtāk diagnosticējama patoloģija. Sensitivitāte ultrasonogrāfijas metodei </w:t>
      </w:r>
      <w:r w:rsidR="006214D8"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tikai 37,14 %, bet specifitāte 46,43%. Uz šī fona histerorezektoskopijas metode izskatās krasi labāka ar 71,43% sensitivitāti un 83,33% specifitāti. Taču</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salīdzinot ar citām </w:t>
      </w:r>
      <w:r w:rsidR="006214D8" w:rsidRPr="00321CBD">
        <w:rPr>
          <w:rFonts w:ascii="Times New Roman" w:hAnsi="Times New Roman" w:cs="Times New Roman"/>
          <w:sz w:val="24"/>
          <w:szCs w:val="24"/>
          <w:lang w:val="lv-LV"/>
        </w:rPr>
        <w:t>patoloģijām</w:t>
      </w:r>
      <w:r w:rsidR="006214D8">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tas ir salīdzinoši sliktāks rezultāts. To var izskaidrot ar to, ka bieži vien polips vai maza submukoza mioma var tikt </w:t>
      </w:r>
      <w:r w:rsidR="006214D8">
        <w:rPr>
          <w:rFonts w:ascii="Times New Roman" w:hAnsi="Times New Roman" w:cs="Times New Roman"/>
          <w:sz w:val="24"/>
          <w:szCs w:val="24"/>
          <w:lang w:val="lv-LV"/>
        </w:rPr>
        <w:t>aplami</w:t>
      </w:r>
      <w:r w:rsidR="006214D8" w:rsidRPr="00321CBD">
        <w:rPr>
          <w:rFonts w:ascii="Times New Roman" w:hAnsi="Times New Roman" w:cs="Times New Roman"/>
          <w:sz w:val="24"/>
          <w:szCs w:val="24"/>
          <w:lang w:val="lv-LV"/>
        </w:rPr>
        <w:t xml:space="preserve"> vērtēti</w:t>
      </w:r>
      <w:r w:rsidRPr="00321CBD">
        <w:rPr>
          <w:rFonts w:ascii="Times New Roman" w:hAnsi="Times New Roman" w:cs="Times New Roman"/>
          <w:sz w:val="24"/>
          <w:szCs w:val="24"/>
          <w:lang w:val="lv-LV"/>
        </w:rPr>
        <w:t xml:space="preserve"> kā hiperplāzija vai </w:t>
      </w:r>
      <w:r w:rsidR="006214D8">
        <w:rPr>
          <w:rFonts w:ascii="Times New Roman" w:hAnsi="Times New Roman" w:cs="Times New Roman"/>
          <w:sz w:val="24"/>
          <w:szCs w:val="24"/>
          <w:lang w:val="lv-LV"/>
        </w:rPr>
        <w:t xml:space="preserve">arī </w:t>
      </w:r>
      <w:r w:rsidRPr="00321CBD">
        <w:rPr>
          <w:rFonts w:ascii="Times New Roman" w:hAnsi="Times New Roman" w:cs="Times New Roman"/>
          <w:sz w:val="24"/>
          <w:szCs w:val="24"/>
          <w:lang w:val="lv-LV"/>
        </w:rPr>
        <w:t xml:space="preserve">endometrijs ir </w:t>
      </w:r>
      <w:r w:rsidR="006214D8" w:rsidRPr="00321CBD">
        <w:rPr>
          <w:rFonts w:ascii="Times New Roman" w:hAnsi="Times New Roman" w:cs="Times New Roman"/>
          <w:sz w:val="24"/>
          <w:szCs w:val="24"/>
          <w:lang w:val="lv-LV"/>
        </w:rPr>
        <w:t>grūt</w:t>
      </w:r>
      <w:r w:rsidR="006214D8">
        <w:rPr>
          <w:rFonts w:ascii="Times New Roman" w:hAnsi="Times New Roman" w:cs="Times New Roman"/>
          <w:sz w:val="24"/>
          <w:szCs w:val="24"/>
          <w:lang w:val="lv-LV"/>
        </w:rPr>
        <w:t>āk</w:t>
      </w:r>
      <w:r w:rsidRPr="00321CBD">
        <w:rPr>
          <w:rFonts w:ascii="Times New Roman" w:hAnsi="Times New Roman" w:cs="Times New Roman"/>
          <w:sz w:val="24"/>
          <w:szCs w:val="24"/>
          <w:lang w:val="lv-LV"/>
        </w:rPr>
        <w:t xml:space="preserve"> izvertējams citas patoloģijas dēļ. Ultrasonogrāfijas diagnostiskās vērtības dati būtu vairāk </w:t>
      </w:r>
      <w:r w:rsidR="006214D8" w:rsidRPr="00321CBD">
        <w:rPr>
          <w:rFonts w:ascii="Times New Roman" w:hAnsi="Times New Roman" w:cs="Times New Roman"/>
          <w:sz w:val="24"/>
          <w:szCs w:val="24"/>
          <w:lang w:val="lv-LV"/>
        </w:rPr>
        <w:t>pielīdzināmi</w:t>
      </w:r>
      <w:r w:rsidRPr="00321CBD">
        <w:rPr>
          <w:rFonts w:ascii="Times New Roman" w:hAnsi="Times New Roman" w:cs="Times New Roman"/>
          <w:sz w:val="24"/>
          <w:szCs w:val="24"/>
          <w:lang w:val="lv-LV"/>
        </w:rPr>
        <w:t xml:space="preserve"> histeroskopijai, ja būtu veikta </w:t>
      </w:r>
      <w:r w:rsidR="006214D8" w:rsidRPr="00321CBD">
        <w:rPr>
          <w:rFonts w:ascii="Times New Roman" w:hAnsi="Times New Roman" w:cs="Times New Roman"/>
          <w:sz w:val="24"/>
          <w:szCs w:val="24"/>
          <w:lang w:val="lv-LV"/>
        </w:rPr>
        <w:t>šķidruma</w:t>
      </w:r>
      <w:r w:rsidRPr="00321CBD">
        <w:rPr>
          <w:rFonts w:ascii="Times New Roman" w:hAnsi="Times New Roman" w:cs="Times New Roman"/>
          <w:sz w:val="24"/>
          <w:szCs w:val="24"/>
          <w:lang w:val="lv-LV"/>
        </w:rPr>
        <w:t xml:space="preserve"> hidrosonogrāfija, bet dotajā pētījumā ne vienai pacientei tas netika veikts. Savukārt citu pētījumu dati nedaudz atšķiras, bet vairum</w:t>
      </w:r>
      <w:r w:rsidR="006214D8">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gadījum</w:t>
      </w:r>
      <w:r w:rsidR="006214D8">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ir </w:t>
      </w:r>
      <w:r w:rsidR="006214D8" w:rsidRPr="00321CBD">
        <w:rPr>
          <w:rFonts w:ascii="Times New Roman" w:hAnsi="Times New Roman" w:cs="Times New Roman"/>
          <w:sz w:val="24"/>
          <w:szCs w:val="24"/>
          <w:lang w:val="lv-LV"/>
        </w:rPr>
        <w:t>pielīdzināmi</w:t>
      </w:r>
      <w:r w:rsidRPr="00321CBD">
        <w:rPr>
          <w:rFonts w:ascii="Times New Roman" w:hAnsi="Times New Roman" w:cs="Times New Roman"/>
          <w:sz w:val="24"/>
          <w:szCs w:val="24"/>
          <w:lang w:val="lv-LV"/>
        </w:rPr>
        <w:t xml:space="preserve"> šajā pētījumā </w:t>
      </w:r>
      <w:r w:rsidR="006214D8" w:rsidRPr="00321CBD">
        <w:rPr>
          <w:rFonts w:ascii="Times New Roman" w:hAnsi="Times New Roman" w:cs="Times New Roman"/>
          <w:sz w:val="24"/>
          <w:szCs w:val="24"/>
          <w:lang w:val="lv-LV"/>
        </w:rPr>
        <w:t>iegūtajiem</w:t>
      </w:r>
      <w:r w:rsidR="006214D8">
        <w:rPr>
          <w:rFonts w:ascii="Times New Roman" w:hAnsi="Times New Roman" w:cs="Times New Roman"/>
          <w:sz w:val="24"/>
          <w:szCs w:val="24"/>
          <w:lang w:val="lv-LV"/>
        </w:rPr>
        <w:t xml:space="preserve"> </w:t>
      </w:r>
      <w:r w:rsidR="00494188">
        <w:rPr>
          <w:rFonts w:ascii="Times New Roman" w:hAnsi="Times New Roman" w:cs="Times New Roman"/>
          <w:sz w:val="24"/>
          <w:szCs w:val="24"/>
          <w:lang w:val="lv-LV"/>
        </w:rPr>
        <w:t>rezultā</w:t>
      </w:r>
      <w:r w:rsidR="006214D8">
        <w:rPr>
          <w:rFonts w:ascii="Times New Roman" w:hAnsi="Times New Roman" w:cs="Times New Roman"/>
          <w:sz w:val="24"/>
          <w:szCs w:val="24"/>
          <w:lang w:val="lv-LV"/>
        </w:rPr>
        <w:t>tiem</w:t>
      </w:r>
      <w:r w:rsidRPr="00321CBD">
        <w:rPr>
          <w:rFonts w:ascii="Times New Roman" w:hAnsi="Times New Roman" w:cs="Times New Roman"/>
          <w:sz w:val="24"/>
          <w:szCs w:val="24"/>
          <w:lang w:val="lv-LV"/>
        </w:rPr>
        <w:t xml:space="preserve">. Tā </w:t>
      </w:r>
      <w:r w:rsidRPr="00321CBD">
        <w:rPr>
          <w:rFonts w:ascii="Times New Roman" w:hAnsi="Times New Roman" w:cs="Times New Roman"/>
          <w:i/>
          <w:sz w:val="24"/>
          <w:szCs w:val="24"/>
          <w:lang w:val="lv-LV"/>
        </w:rPr>
        <w:t xml:space="preserve">Van den Bosch et al </w:t>
      </w:r>
      <w:r w:rsidRPr="00321CBD">
        <w:rPr>
          <w:rFonts w:ascii="Times New Roman" w:hAnsi="Times New Roman" w:cs="Times New Roman"/>
          <w:sz w:val="24"/>
          <w:szCs w:val="24"/>
          <w:lang w:val="lv-LV"/>
        </w:rPr>
        <w:t xml:space="preserve">premenopauzes vecuma sievietēm ar sabiezētu endometriju &gt; 9 mm parastā ultrasonogrāfijas izmeklējumā </w:t>
      </w:r>
      <w:r w:rsidR="006214D8" w:rsidRPr="00321CBD">
        <w:rPr>
          <w:rFonts w:ascii="Times New Roman" w:hAnsi="Times New Roman" w:cs="Times New Roman"/>
          <w:sz w:val="24"/>
          <w:szCs w:val="24"/>
          <w:lang w:val="lv-LV"/>
        </w:rPr>
        <w:t>parādīja</w:t>
      </w:r>
      <w:r w:rsidRPr="00321CBD">
        <w:rPr>
          <w:rFonts w:ascii="Times New Roman" w:hAnsi="Times New Roman" w:cs="Times New Roman"/>
          <w:sz w:val="24"/>
          <w:szCs w:val="24"/>
          <w:lang w:val="lv-LV"/>
        </w:rPr>
        <w:t xml:space="preserve"> sensitivitāti, specifitāti, pozitīvu paredzamu vērtību un negatīvu paredzamu vērtību, </w:t>
      </w:r>
      <w:r w:rsidR="006214D8" w:rsidRPr="00321CBD">
        <w:rPr>
          <w:rFonts w:ascii="Times New Roman" w:hAnsi="Times New Roman" w:cs="Times New Roman"/>
          <w:sz w:val="24"/>
          <w:szCs w:val="24"/>
          <w:lang w:val="lv-LV"/>
        </w:rPr>
        <w:t xml:space="preserve">attiecīgi </w:t>
      </w:r>
      <w:r w:rsidRPr="00321CBD">
        <w:rPr>
          <w:rFonts w:ascii="Times New Roman" w:hAnsi="Times New Roman" w:cs="Times New Roman"/>
          <w:sz w:val="24"/>
          <w:szCs w:val="24"/>
          <w:lang w:val="lv-LV"/>
        </w:rPr>
        <w:t>57%, 58%, 45% un 69%</w:t>
      </w:r>
      <w:r w:rsidR="00494188">
        <w:rPr>
          <w:rFonts w:ascii="Times New Roman" w:hAnsi="Times New Roman" w:cs="Times New Roman"/>
          <w:sz w:val="24"/>
          <w:szCs w:val="24"/>
          <w:lang w:val="lv-LV"/>
        </w:rPr>
        <w:t>. Menopauzē</w:t>
      </w:r>
      <w:r w:rsidR="006214D8">
        <w:rPr>
          <w:rFonts w:ascii="Times New Roman" w:hAnsi="Times New Roman" w:cs="Times New Roman"/>
          <w:sz w:val="24"/>
          <w:szCs w:val="24"/>
          <w:lang w:val="lv-LV"/>
        </w:rPr>
        <w:t xml:space="preserve"> esošajām</w:t>
      </w:r>
      <w:r w:rsidRPr="00321CBD">
        <w:rPr>
          <w:rFonts w:ascii="Times New Roman" w:hAnsi="Times New Roman" w:cs="Times New Roman"/>
          <w:sz w:val="24"/>
          <w:szCs w:val="24"/>
          <w:lang w:val="lv-LV"/>
        </w:rPr>
        <w:t xml:space="preserve"> sievietēm šie skaitļi bija nedaudz </w:t>
      </w:r>
      <w:r w:rsidR="006214D8" w:rsidRPr="00321CBD">
        <w:rPr>
          <w:rFonts w:ascii="Times New Roman" w:hAnsi="Times New Roman" w:cs="Times New Roman"/>
          <w:sz w:val="24"/>
          <w:szCs w:val="24"/>
          <w:lang w:val="lv-LV"/>
        </w:rPr>
        <w:t>lielāki</w:t>
      </w:r>
      <w:r w:rsidRPr="00321CBD">
        <w:rPr>
          <w:rFonts w:ascii="Times New Roman" w:hAnsi="Times New Roman" w:cs="Times New Roman"/>
          <w:sz w:val="24"/>
          <w:szCs w:val="24"/>
          <w:lang w:val="lv-LV"/>
        </w:rPr>
        <w:t>, bet neviens nepārsniedza 85%.</w:t>
      </w:r>
      <w:r w:rsidR="00DA402F" w:rsidRPr="00DA402F">
        <w:rPr>
          <w:rFonts w:ascii="Times New Roman" w:hAnsi="Times New Roman" w:cs="Times New Roman"/>
          <w:sz w:val="24"/>
          <w:szCs w:val="24"/>
          <w:vertAlign w:val="superscript"/>
          <w:lang w:val="lv-LV"/>
        </w:rPr>
        <w:t>15</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Laichandani and Phillips</w:t>
      </w:r>
      <w:r w:rsidRPr="00321CBD">
        <w:rPr>
          <w:rFonts w:ascii="Times New Roman" w:hAnsi="Times New Roman" w:cs="Times New Roman"/>
          <w:sz w:val="24"/>
          <w:szCs w:val="24"/>
          <w:lang w:val="lv-LV"/>
        </w:rPr>
        <w:t xml:space="preserve"> apskatē histeroskopija </w:t>
      </w:r>
      <w:r w:rsidR="006214D8" w:rsidRPr="00321CBD">
        <w:rPr>
          <w:rFonts w:ascii="Times New Roman" w:hAnsi="Times New Roman" w:cs="Times New Roman"/>
          <w:sz w:val="24"/>
          <w:szCs w:val="24"/>
          <w:lang w:val="lv-LV"/>
        </w:rPr>
        <w:t>parādīja</w:t>
      </w:r>
      <w:r w:rsidRPr="00321CBD">
        <w:rPr>
          <w:rFonts w:ascii="Times New Roman" w:hAnsi="Times New Roman" w:cs="Times New Roman"/>
          <w:sz w:val="24"/>
          <w:szCs w:val="24"/>
          <w:lang w:val="lv-LV"/>
        </w:rPr>
        <w:t xml:space="preserve"> diezgan lielu datu </w:t>
      </w:r>
      <w:r w:rsidR="006214D8">
        <w:rPr>
          <w:rFonts w:ascii="Times New Roman" w:hAnsi="Times New Roman" w:cs="Times New Roman"/>
          <w:sz w:val="24"/>
          <w:szCs w:val="24"/>
          <w:lang w:val="lv-LV"/>
        </w:rPr>
        <w:t>dažādību</w:t>
      </w:r>
      <w:r w:rsidRPr="00321CBD">
        <w:rPr>
          <w:rFonts w:ascii="Times New Roman" w:hAnsi="Times New Roman" w:cs="Times New Roman"/>
          <w:sz w:val="24"/>
          <w:szCs w:val="24"/>
          <w:lang w:val="lv-LV"/>
        </w:rPr>
        <w:t>. Tā sensitivitāte svārstījās no 62% līdz pat 98%</w:t>
      </w:r>
      <w:r w:rsidR="006214D8">
        <w:rPr>
          <w:rFonts w:ascii="Times New Roman" w:hAnsi="Times New Roman" w:cs="Times New Roman"/>
          <w:sz w:val="24"/>
          <w:szCs w:val="24"/>
          <w:lang w:val="lv-LV"/>
        </w:rPr>
        <w:t>.</w:t>
      </w:r>
      <w:r w:rsidR="00DA402F" w:rsidRPr="00DA402F">
        <w:rPr>
          <w:rFonts w:ascii="Times New Roman" w:hAnsi="Times New Roman" w:cs="Times New Roman"/>
          <w:sz w:val="24"/>
          <w:szCs w:val="24"/>
          <w:vertAlign w:val="superscript"/>
          <w:lang w:val="lv-LV"/>
        </w:rPr>
        <w:t>12</w:t>
      </w:r>
      <w:r w:rsidR="006214D8">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Veena et al </w:t>
      </w:r>
      <w:r w:rsidRPr="00321CBD">
        <w:rPr>
          <w:rFonts w:ascii="Times New Roman" w:hAnsi="Times New Roman" w:cs="Times New Roman"/>
          <w:sz w:val="24"/>
          <w:szCs w:val="24"/>
          <w:lang w:val="lv-LV"/>
        </w:rPr>
        <w:t xml:space="preserve">pētījumā ultrasonogrāfija </w:t>
      </w:r>
      <w:r w:rsidR="006214D8" w:rsidRPr="00321CBD">
        <w:rPr>
          <w:rFonts w:ascii="Times New Roman" w:hAnsi="Times New Roman" w:cs="Times New Roman"/>
          <w:sz w:val="24"/>
          <w:szCs w:val="24"/>
          <w:lang w:val="lv-LV"/>
        </w:rPr>
        <w:t>parādīja</w:t>
      </w:r>
      <w:r w:rsidRPr="00321CBD">
        <w:rPr>
          <w:rFonts w:ascii="Times New Roman" w:hAnsi="Times New Roman" w:cs="Times New Roman"/>
          <w:sz w:val="24"/>
          <w:szCs w:val="24"/>
          <w:lang w:val="lv-LV"/>
        </w:rPr>
        <w:t xml:space="preserve"> tikai 37,5% sensitivitāti</w:t>
      </w:r>
      <w:r w:rsidR="006214D8">
        <w:rPr>
          <w:rFonts w:ascii="Times New Roman" w:hAnsi="Times New Roman" w:cs="Times New Roman"/>
          <w:sz w:val="24"/>
          <w:szCs w:val="24"/>
          <w:lang w:val="lv-LV"/>
        </w:rPr>
        <w:t>.</w:t>
      </w:r>
      <w:r w:rsidR="00DA402F" w:rsidRPr="00DA402F">
        <w:rPr>
          <w:rFonts w:ascii="Times New Roman" w:hAnsi="Times New Roman" w:cs="Times New Roman"/>
          <w:sz w:val="24"/>
          <w:szCs w:val="24"/>
          <w:vertAlign w:val="superscript"/>
          <w:lang w:val="lv-LV"/>
        </w:rPr>
        <w:t>16</w:t>
      </w:r>
      <w:r w:rsidRPr="00321CBD">
        <w:rPr>
          <w:rFonts w:ascii="Times New Roman" w:hAnsi="Times New Roman" w:cs="Times New Roman"/>
          <w:sz w:val="24"/>
          <w:szCs w:val="24"/>
          <w:lang w:val="lv-LV"/>
        </w:rPr>
        <w:t xml:space="preserve"> </w:t>
      </w:r>
      <w:r w:rsidRPr="00321CBD">
        <w:rPr>
          <w:rFonts w:ascii="Times New Roman" w:hAnsi="Times New Roman" w:cs="Times New Roman"/>
          <w:i/>
          <w:sz w:val="24"/>
          <w:szCs w:val="24"/>
          <w:lang w:val="lv-LV"/>
        </w:rPr>
        <w:t xml:space="preserve">Patil et al </w:t>
      </w:r>
      <w:r w:rsidRPr="00321CBD">
        <w:rPr>
          <w:rFonts w:ascii="Times New Roman" w:hAnsi="Times New Roman" w:cs="Times New Roman"/>
          <w:sz w:val="24"/>
          <w:szCs w:val="24"/>
          <w:lang w:val="lv-LV"/>
        </w:rPr>
        <w:t xml:space="preserve">pētījumā sensitivitāte, specifitāte, PPV un NPV bija </w:t>
      </w:r>
      <w:r w:rsidR="006214D8" w:rsidRPr="00321CBD">
        <w:rPr>
          <w:rFonts w:ascii="Times New Roman" w:hAnsi="Times New Roman" w:cs="Times New Roman"/>
          <w:sz w:val="24"/>
          <w:szCs w:val="24"/>
          <w:lang w:val="lv-LV"/>
        </w:rPr>
        <w:t xml:space="preserve">attiecīgi </w:t>
      </w:r>
      <w:r w:rsidRPr="00321CBD">
        <w:rPr>
          <w:rFonts w:ascii="Times New Roman" w:hAnsi="Times New Roman" w:cs="Times New Roman"/>
          <w:sz w:val="24"/>
          <w:szCs w:val="24"/>
          <w:lang w:val="lv-LV"/>
        </w:rPr>
        <w:t xml:space="preserve">75%, 92,5%, 71,4% un 93,67%, kas ir </w:t>
      </w:r>
      <w:r w:rsidR="006214D8" w:rsidRPr="00321CBD">
        <w:rPr>
          <w:rFonts w:ascii="Times New Roman" w:hAnsi="Times New Roman" w:cs="Times New Roman"/>
          <w:sz w:val="24"/>
          <w:szCs w:val="24"/>
          <w:lang w:val="lv-LV"/>
        </w:rPr>
        <w:t>pielīdzināms</w:t>
      </w:r>
      <w:r w:rsidRPr="00321CBD">
        <w:rPr>
          <w:rFonts w:ascii="Times New Roman" w:hAnsi="Times New Roman" w:cs="Times New Roman"/>
          <w:sz w:val="24"/>
          <w:szCs w:val="24"/>
          <w:lang w:val="lv-LV"/>
        </w:rPr>
        <w:t xml:space="preserve"> </w:t>
      </w:r>
      <w:r w:rsidR="006214D8" w:rsidRPr="00321CBD">
        <w:rPr>
          <w:rFonts w:ascii="Times New Roman" w:hAnsi="Times New Roman" w:cs="Times New Roman"/>
          <w:sz w:val="24"/>
          <w:szCs w:val="24"/>
          <w:lang w:val="lv-LV"/>
        </w:rPr>
        <w:t>dotajam</w:t>
      </w:r>
      <w:r w:rsidR="00DA402F">
        <w:rPr>
          <w:rFonts w:ascii="Times New Roman" w:hAnsi="Times New Roman" w:cs="Times New Roman"/>
          <w:sz w:val="24"/>
          <w:szCs w:val="24"/>
          <w:lang w:val="lv-LV"/>
        </w:rPr>
        <w:t xml:space="preserve"> pētījumam</w:t>
      </w:r>
      <w:r w:rsidRPr="00321CBD">
        <w:rPr>
          <w:rFonts w:ascii="Times New Roman" w:hAnsi="Times New Roman" w:cs="Times New Roman"/>
          <w:sz w:val="24"/>
          <w:szCs w:val="24"/>
          <w:lang w:val="lv-LV"/>
        </w:rPr>
        <w:t>.</w:t>
      </w:r>
      <w:r w:rsidR="00DA402F" w:rsidRPr="00DA402F">
        <w:rPr>
          <w:rFonts w:ascii="Times New Roman" w:hAnsi="Times New Roman" w:cs="Times New Roman"/>
          <w:sz w:val="24"/>
          <w:szCs w:val="24"/>
          <w:vertAlign w:val="superscript"/>
          <w:lang w:val="lv-LV"/>
        </w:rPr>
        <w:t>14</w:t>
      </w:r>
      <w:r w:rsidRPr="00321CBD">
        <w:rPr>
          <w:rFonts w:ascii="Times New Roman" w:hAnsi="Times New Roman" w:cs="Times New Roman"/>
          <w:sz w:val="24"/>
          <w:szCs w:val="24"/>
          <w:lang w:val="lv-LV"/>
        </w:rPr>
        <w:t xml:space="preserve"> Tas norāda to, ka histerorezektoskopija ir labāka metode hiperplāzijas diagnostika</w:t>
      </w:r>
      <w:r w:rsidR="001051A5">
        <w:rPr>
          <w:rFonts w:ascii="Times New Roman" w:hAnsi="Times New Roman" w:cs="Times New Roman"/>
          <w:sz w:val="24"/>
          <w:szCs w:val="24"/>
          <w:lang w:val="lv-LV"/>
        </w:rPr>
        <w:t>i</w:t>
      </w:r>
      <w:r w:rsidRPr="00321CBD">
        <w:rPr>
          <w:rFonts w:ascii="Times New Roman" w:hAnsi="Times New Roman" w:cs="Times New Roman"/>
          <w:sz w:val="24"/>
          <w:szCs w:val="24"/>
          <w:lang w:val="lv-LV"/>
        </w:rPr>
        <w:t>.</w:t>
      </w:r>
    </w:p>
    <w:p w14:paraId="07EFDF7D" w14:textId="77777777" w:rsidR="00DA3820" w:rsidRPr="00321CBD" w:rsidRDefault="00DA3820" w:rsidP="00DA3820">
      <w:pPr>
        <w:spacing w:line="360" w:lineRule="auto"/>
        <w:jc w:val="both"/>
        <w:rPr>
          <w:rFonts w:ascii="Times New Roman" w:hAnsi="Times New Roman" w:cs="Times New Roman"/>
          <w:b/>
          <w:sz w:val="24"/>
          <w:szCs w:val="24"/>
          <w:lang w:val="lv-LV"/>
        </w:rPr>
      </w:pPr>
      <w:r w:rsidRPr="00321CBD">
        <w:rPr>
          <w:rFonts w:ascii="Times New Roman" w:hAnsi="Times New Roman" w:cs="Times New Roman"/>
          <w:b/>
          <w:sz w:val="24"/>
          <w:szCs w:val="24"/>
          <w:lang w:val="lv-LV"/>
        </w:rPr>
        <w:lastRenderedPageBreak/>
        <w:t>Apkopojums un secinājumi.</w:t>
      </w:r>
    </w:p>
    <w:p w14:paraId="185D685F" w14:textId="2A45A897"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Apkopojot visus datus var secināt, ka histeroskopijas/histerorezektoskopijas metodei</w:t>
      </w:r>
      <w:r w:rsidR="001051A5">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1051A5" w:rsidRPr="00321CBD">
        <w:rPr>
          <w:rFonts w:ascii="Times New Roman" w:hAnsi="Times New Roman" w:cs="Times New Roman"/>
          <w:sz w:val="24"/>
          <w:szCs w:val="24"/>
          <w:lang w:val="lv-LV"/>
        </w:rPr>
        <w:t xml:space="preserve">salīdzinot ar </w:t>
      </w:r>
      <w:r w:rsidR="001051A5">
        <w:rPr>
          <w:rFonts w:ascii="Times New Roman" w:hAnsi="Times New Roman" w:cs="Times New Roman"/>
          <w:sz w:val="24"/>
          <w:szCs w:val="24"/>
          <w:lang w:val="lv-LV"/>
        </w:rPr>
        <w:t>u</w:t>
      </w:r>
      <w:r w:rsidR="001051A5" w:rsidRPr="00321CBD">
        <w:rPr>
          <w:rFonts w:ascii="Times New Roman" w:hAnsi="Times New Roman" w:cs="Times New Roman"/>
          <w:sz w:val="24"/>
          <w:szCs w:val="24"/>
          <w:lang w:val="lv-LV"/>
        </w:rPr>
        <w:t>ltrasonogrāfijas metodi</w:t>
      </w:r>
      <w:r w:rsidR="001051A5">
        <w:rPr>
          <w:rFonts w:ascii="Times New Roman" w:hAnsi="Times New Roman" w:cs="Times New Roman"/>
          <w:sz w:val="24"/>
          <w:szCs w:val="24"/>
          <w:lang w:val="lv-LV"/>
        </w:rPr>
        <w:t>,</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ir </w:t>
      </w:r>
      <w:r w:rsidR="001051A5">
        <w:rPr>
          <w:rFonts w:ascii="Times New Roman" w:hAnsi="Times New Roman" w:cs="Times New Roman"/>
          <w:sz w:val="24"/>
          <w:szCs w:val="24"/>
          <w:lang w:val="lv-LV"/>
        </w:rPr>
        <w:t>augsta</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vai ļoti </w:t>
      </w:r>
      <w:r w:rsidR="001051A5">
        <w:rPr>
          <w:rFonts w:ascii="Times New Roman" w:hAnsi="Times New Roman" w:cs="Times New Roman"/>
          <w:sz w:val="24"/>
          <w:szCs w:val="24"/>
          <w:lang w:val="lv-LV"/>
        </w:rPr>
        <w:t>augsta</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diagnostiska vērtība attiecībā uz strukturālam dzemdes patoloģijām. Tā varētu būt izmantota gadījumos, kad ir neskaidra diagnoze jebkura vecuma sievietēm ar </w:t>
      </w:r>
      <w:r w:rsidR="001051A5" w:rsidRPr="00321CBD">
        <w:rPr>
          <w:rFonts w:ascii="Times New Roman" w:hAnsi="Times New Roman" w:cs="Times New Roman"/>
          <w:sz w:val="24"/>
          <w:szCs w:val="24"/>
          <w:lang w:val="lv-LV"/>
        </w:rPr>
        <w:t>patoloģisku</w:t>
      </w:r>
      <w:r w:rsidRPr="00321CBD">
        <w:rPr>
          <w:rFonts w:ascii="Times New Roman" w:hAnsi="Times New Roman" w:cs="Times New Roman"/>
          <w:sz w:val="24"/>
          <w:szCs w:val="24"/>
          <w:lang w:val="lv-LV"/>
        </w:rPr>
        <w:t xml:space="preserve"> dzemdes asiņošanu. </w:t>
      </w:r>
      <w:r w:rsidR="001051A5" w:rsidRPr="00321CBD">
        <w:rPr>
          <w:rFonts w:ascii="Times New Roman" w:hAnsi="Times New Roman" w:cs="Times New Roman"/>
          <w:sz w:val="24"/>
          <w:szCs w:val="24"/>
          <w:lang w:val="lv-LV"/>
        </w:rPr>
        <w:t>Īpaši</w:t>
      </w:r>
      <w:r w:rsidRPr="00321CBD">
        <w:rPr>
          <w:rFonts w:ascii="Times New Roman" w:hAnsi="Times New Roman" w:cs="Times New Roman"/>
          <w:sz w:val="24"/>
          <w:szCs w:val="24"/>
          <w:lang w:val="lv-LV"/>
        </w:rPr>
        <w:t xml:space="preserve"> histerorezektoskopija ir piemērota endometrija hiperplāzijas gadījumā.</w:t>
      </w:r>
    </w:p>
    <w:p w14:paraId="5279D38F" w14:textId="270F0961"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Dotajā pētījumā strukturālas patoloģijas sadalījums </w:t>
      </w:r>
      <w:r w:rsidR="001051A5">
        <w:rPr>
          <w:rFonts w:ascii="Times New Roman" w:hAnsi="Times New Roman" w:cs="Times New Roman"/>
          <w:sz w:val="24"/>
          <w:szCs w:val="24"/>
          <w:lang w:val="lv-LV"/>
        </w:rPr>
        <w:t>lielākoties</w:t>
      </w:r>
      <w:r w:rsidRPr="00321CBD">
        <w:rPr>
          <w:rFonts w:ascii="Times New Roman" w:hAnsi="Times New Roman" w:cs="Times New Roman"/>
          <w:sz w:val="24"/>
          <w:szCs w:val="24"/>
          <w:lang w:val="lv-LV"/>
        </w:rPr>
        <w:t xml:space="preserve"> neatšķiras no citām valstīm. Būtu jāveic </w:t>
      </w:r>
      <w:r w:rsidRPr="00494188">
        <w:rPr>
          <w:rFonts w:ascii="Times New Roman" w:hAnsi="Times New Roman" w:cs="Times New Roman"/>
          <w:sz w:val="24"/>
          <w:szCs w:val="24"/>
          <w:lang w:val="lv-LV"/>
        </w:rPr>
        <w:t>prospektīvs</w:t>
      </w:r>
      <w:r w:rsidRPr="00321CBD">
        <w:rPr>
          <w:rFonts w:ascii="Times New Roman" w:hAnsi="Times New Roman" w:cs="Times New Roman"/>
          <w:sz w:val="24"/>
          <w:szCs w:val="24"/>
          <w:lang w:val="lv-LV"/>
        </w:rPr>
        <w:t xml:space="preserve"> lielāks pētījums ietverot citas </w:t>
      </w:r>
      <w:r w:rsidR="0008353B">
        <w:rPr>
          <w:rFonts w:ascii="Times New Roman" w:hAnsi="Times New Roman" w:cs="Times New Roman"/>
          <w:sz w:val="24"/>
          <w:szCs w:val="24"/>
          <w:lang w:val="lv-LV"/>
        </w:rPr>
        <w:t>Latvijas klīnikas, lai rezultāti</w:t>
      </w:r>
      <w:r w:rsidRPr="00321CBD">
        <w:rPr>
          <w:rFonts w:ascii="Times New Roman" w:hAnsi="Times New Roman" w:cs="Times New Roman"/>
          <w:sz w:val="24"/>
          <w:szCs w:val="24"/>
          <w:lang w:val="lv-LV"/>
        </w:rPr>
        <w:t xml:space="preserve"> būtu vēl </w:t>
      </w:r>
      <w:r w:rsidR="0008353B">
        <w:rPr>
          <w:rFonts w:ascii="Times New Roman" w:hAnsi="Times New Roman" w:cs="Times New Roman"/>
          <w:sz w:val="24"/>
          <w:szCs w:val="24"/>
          <w:lang w:val="lv-LV"/>
        </w:rPr>
        <w:t>pārliecinošāki</w:t>
      </w:r>
      <w:r w:rsidRPr="00321CBD">
        <w:rPr>
          <w:rFonts w:ascii="Times New Roman" w:hAnsi="Times New Roman" w:cs="Times New Roman"/>
          <w:sz w:val="24"/>
          <w:szCs w:val="24"/>
          <w:lang w:val="lv-LV"/>
        </w:rPr>
        <w:t>.</w:t>
      </w:r>
    </w:p>
    <w:p w14:paraId="26B606FE" w14:textId="73C05808" w:rsidR="00DA3820" w:rsidRPr="00321CBD" w:rsidRDefault="00DA3820" w:rsidP="00DA3820">
      <w:p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Apkopojot datus pēc PALM – COEIN klasifikācijas principiem</w:t>
      </w:r>
      <w:r w:rsidR="001051A5">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bija iespējams izvērtēt iegūtos datus no dažādām pusēm, izvērtēt atsevišķ</w:t>
      </w:r>
      <w:r w:rsidR="001051A5">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patoloģij</w:t>
      </w:r>
      <w:r w:rsidR="001051A5">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dažādas likumsakarības. Arī termins „patoloģiska dzemdes asiņošana” ir piemērojams, </w:t>
      </w:r>
      <w:r w:rsidR="001051A5">
        <w:rPr>
          <w:rFonts w:ascii="Times New Roman" w:hAnsi="Times New Roman" w:cs="Times New Roman"/>
          <w:sz w:val="24"/>
          <w:szCs w:val="24"/>
          <w:lang w:val="lv-LV"/>
        </w:rPr>
        <w:t>jo</w:t>
      </w:r>
      <w:r w:rsidRPr="00321CBD">
        <w:rPr>
          <w:rFonts w:ascii="Times New Roman" w:hAnsi="Times New Roman" w:cs="Times New Roman"/>
          <w:sz w:val="24"/>
          <w:szCs w:val="24"/>
          <w:lang w:val="lv-LV"/>
        </w:rPr>
        <w:t xml:space="preserve"> vairum</w:t>
      </w:r>
      <w:r w:rsidR="001051A5">
        <w:rPr>
          <w:rFonts w:ascii="Times New Roman" w:hAnsi="Times New Roman" w:cs="Times New Roman"/>
          <w:sz w:val="24"/>
          <w:szCs w:val="24"/>
          <w:lang w:val="lv-LV"/>
        </w:rPr>
        <w:t>ā</w:t>
      </w:r>
      <w:r w:rsidRPr="00321CBD">
        <w:rPr>
          <w:rFonts w:ascii="Times New Roman" w:hAnsi="Times New Roman" w:cs="Times New Roman"/>
          <w:sz w:val="24"/>
          <w:szCs w:val="24"/>
          <w:lang w:val="lv-LV"/>
        </w:rPr>
        <w:t xml:space="preserve"> gadījum</w:t>
      </w:r>
      <w:r w:rsidR="001051A5">
        <w:rPr>
          <w:rFonts w:ascii="Times New Roman" w:hAnsi="Times New Roman" w:cs="Times New Roman"/>
          <w:sz w:val="24"/>
          <w:szCs w:val="24"/>
          <w:lang w:val="lv-LV"/>
        </w:rPr>
        <w:t>u</w:t>
      </w:r>
      <w:r w:rsidRPr="00321CBD">
        <w:rPr>
          <w:rFonts w:ascii="Times New Roman" w:hAnsi="Times New Roman" w:cs="Times New Roman"/>
          <w:sz w:val="24"/>
          <w:szCs w:val="24"/>
          <w:lang w:val="lv-LV"/>
        </w:rPr>
        <w:t xml:space="preserve"> sūdzības tika raksturotas kā menorāģija vai metrorāģija, kurus ar šo terminu ir domāts aizvietot. Ja visi pētījumi būtu ar vienu terminoloģiju, tos būtu daudz vieglāk salīdzināt. Taču šai metodei </w:t>
      </w:r>
      <w:r w:rsidR="001051A5">
        <w:rPr>
          <w:rFonts w:ascii="Times New Roman" w:hAnsi="Times New Roman" w:cs="Times New Roman"/>
          <w:sz w:val="24"/>
          <w:szCs w:val="24"/>
          <w:lang w:val="lv-LV"/>
        </w:rPr>
        <w:t>ir iespējams</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konstatēt arī dažas nepilnības. Viena no tām ir vairāku </w:t>
      </w:r>
      <w:r w:rsidR="001051A5" w:rsidRPr="00321CBD">
        <w:rPr>
          <w:rFonts w:ascii="Times New Roman" w:hAnsi="Times New Roman" w:cs="Times New Roman"/>
          <w:sz w:val="24"/>
          <w:szCs w:val="24"/>
          <w:lang w:val="lv-LV"/>
        </w:rPr>
        <w:t>patoloģiju</w:t>
      </w:r>
      <w:r w:rsidRPr="00321CBD">
        <w:rPr>
          <w:rFonts w:ascii="Times New Roman" w:hAnsi="Times New Roman" w:cs="Times New Roman"/>
          <w:sz w:val="24"/>
          <w:szCs w:val="24"/>
          <w:lang w:val="lv-LV"/>
        </w:rPr>
        <w:t xml:space="preserve"> klātbūtne vienai pacientei. </w:t>
      </w:r>
      <w:r w:rsidR="001051A5" w:rsidRPr="00321CBD">
        <w:rPr>
          <w:rFonts w:ascii="Times New Roman" w:hAnsi="Times New Roman" w:cs="Times New Roman"/>
          <w:sz w:val="24"/>
          <w:szCs w:val="24"/>
          <w:lang w:val="lv-LV"/>
        </w:rPr>
        <w:t>Izvērtējot</w:t>
      </w:r>
      <w:r w:rsidRPr="00321CBD">
        <w:rPr>
          <w:rFonts w:ascii="Times New Roman" w:hAnsi="Times New Roman" w:cs="Times New Roman"/>
          <w:sz w:val="24"/>
          <w:szCs w:val="24"/>
          <w:lang w:val="lv-LV"/>
        </w:rPr>
        <w:t xml:space="preserve"> to, ir grūti izlemt</w:t>
      </w:r>
      <w:r w:rsidR="001051A5">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pie kuras no grupām attiecināt </w:t>
      </w:r>
      <w:r w:rsidR="001051A5" w:rsidRPr="00321CBD">
        <w:rPr>
          <w:rFonts w:ascii="Times New Roman" w:hAnsi="Times New Roman" w:cs="Times New Roman"/>
          <w:sz w:val="24"/>
          <w:szCs w:val="24"/>
          <w:lang w:val="lv-LV"/>
        </w:rPr>
        <w:t>konkrēto</w:t>
      </w:r>
      <w:r w:rsidRPr="00321CBD">
        <w:rPr>
          <w:rFonts w:ascii="Times New Roman" w:hAnsi="Times New Roman" w:cs="Times New Roman"/>
          <w:sz w:val="24"/>
          <w:szCs w:val="24"/>
          <w:lang w:val="lv-LV"/>
        </w:rPr>
        <w:t xml:space="preserve"> pacienti. Otrs būtisks </w:t>
      </w:r>
      <w:r w:rsidR="001051A5">
        <w:rPr>
          <w:rFonts w:ascii="Times New Roman" w:hAnsi="Times New Roman" w:cs="Times New Roman"/>
          <w:sz w:val="24"/>
          <w:szCs w:val="24"/>
          <w:lang w:val="lv-LV"/>
        </w:rPr>
        <w:t>faktors</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ir atrofiska endometrija atradne histerorezektoskopiski un histoloģiski. Ņemot vērā k</w:t>
      </w:r>
      <w:r w:rsidR="001051A5">
        <w:rPr>
          <w:rFonts w:ascii="Times New Roman" w:hAnsi="Times New Roman" w:cs="Times New Roman"/>
          <w:sz w:val="24"/>
          <w:szCs w:val="24"/>
          <w:lang w:val="lv-LV"/>
        </w:rPr>
        <w:t>a</w:t>
      </w:r>
      <w:r w:rsidRPr="00321CBD">
        <w:rPr>
          <w:rFonts w:ascii="Times New Roman" w:hAnsi="Times New Roman" w:cs="Times New Roman"/>
          <w:sz w:val="24"/>
          <w:szCs w:val="24"/>
          <w:lang w:val="lv-LV"/>
        </w:rPr>
        <w:t xml:space="preserve"> š</w:t>
      </w:r>
      <w:r w:rsidR="001051A5">
        <w:rPr>
          <w:rFonts w:ascii="Times New Roman" w:hAnsi="Times New Roman" w:cs="Times New Roman"/>
          <w:sz w:val="24"/>
          <w:szCs w:val="24"/>
          <w:lang w:val="lv-LV"/>
        </w:rPr>
        <w:t>ī</w:t>
      </w:r>
      <w:r w:rsidRPr="00321CBD">
        <w:rPr>
          <w:rFonts w:ascii="Times New Roman" w:hAnsi="Times New Roman" w:cs="Times New Roman"/>
          <w:sz w:val="24"/>
          <w:szCs w:val="24"/>
          <w:lang w:val="lv-LV"/>
        </w:rPr>
        <w:t xml:space="preserve"> shēma ir domāta tikai </w:t>
      </w:r>
      <w:r w:rsidR="001051A5" w:rsidRPr="00321CBD">
        <w:rPr>
          <w:rFonts w:ascii="Times New Roman" w:hAnsi="Times New Roman" w:cs="Times New Roman"/>
          <w:sz w:val="24"/>
          <w:szCs w:val="24"/>
          <w:lang w:val="lv-LV"/>
        </w:rPr>
        <w:t>reproduktīva</w:t>
      </w:r>
      <w:r w:rsidRPr="00321CBD">
        <w:rPr>
          <w:rFonts w:ascii="Times New Roman" w:hAnsi="Times New Roman" w:cs="Times New Roman"/>
          <w:sz w:val="24"/>
          <w:szCs w:val="24"/>
          <w:lang w:val="lv-LV"/>
        </w:rPr>
        <w:t xml:space="preserve"> vecuma sievietēm, tiek izlaists liels </w:t>
      </w:r>
      <w:r w:rsidR="001051A5" w:rsidRPr="00321CBD">
        <w:rPr>
          <w:rFonts w:ascii="Times New Roman" w:hAnsi="Times New Roman" w:cs="Times New Roman"/>
          <w:sz w:val="24"/>
          <w:szCs w:val="24"/>
          <w:lang w:val="lv-LV"/>
        </w:rPr>
        <w:t>sieviešu</w:t>
      </w:r>
      <w:r w:rsidRPr="00321CBD">
        <w:rPr>
          <w:rFonts w:ascii="Times New Roman" w:hAnsi="Times New Roman" w:cs="Times New Roman"/>
          <w:sz w:val="24"/>
          <w:szCs w:val="24"/>
          <w:lang w:val="lv-LV"/>
        </w:rPr>
        <w:t xml:space="preserve"> klāsts ar asiņošanu, kas ir menopauz</w:t>
      </w:r>
      <w:r w:rsidR="001051A5">
        <w:rPr>
          <w:rFonts w:ascii="Times New Roman" w:hAnsi="Times New Roman" w:cs="Times New Roman"/>
          <w:sz w:val="24"/>
          <w:szCs w:val="24"/>
          <w:lang w:val="lv-LV"/>
        </w:rPr>
        <w:t>es periodā</w:t>
      </w:r>
      <w:r w:rsidRPr="00321CBD">
        <w:rPr>
          <w:rFonts w:ascii="Times New Roman" w:hAnsi="Times New Roman" w:cs="Times New Roman"/>
          <w:sz w:val="24"/>
          <w:szCs w:val="24"/>
          <w:lang w:val="lv-LV"/>
        </w:rPr>
        <w:t xml:space="preserve">. Pētījumā </w:t>
      </w:r>
      <w:r w:rsidR="001051A5" w:rsidRPr="00321CBD">
        <w:rPr>
          <w:rFonts w:ascii="Times New Roman" w:hAnsi="Times New Roman" w:cs="Times New Roman"/>
          <w:sz w:val="24"/>
          <w:szCs w:val="24"/>
          <w:lang w:val="lv-LV"/>
        </w:rPr>
        <w:t>šī</w:t>
      </w:r>
      <w:r w:rsidRPr="00321CBD">
        <w:rPr>
          <w:rFonts w:ascii="Times New Roman" w:hAnsi="Times New Roman" w:cs="Times New Roman"/>
          <w:sz w:val="24"/>
          <w:szCs w:val="24"/>
          <w:lang w:val="lv-LV"/>
        </w:rPr>
        <w:t xml:space="preserve"> endometrija klātbūtne netika atspoguļota, bet tā </w:t>
      </w:r>
      <w:r w:rsidR="001051A5" w:rsidRPr="00321CBD">
        <w:rPr>
          <w:rFonts w:ascii="Times New Roman" w:hAnsi="Times New Roman" w:cs="Times New Roman"/>
          <w:sz w:val="24"/>
          <w:szCs w:val="24"/>
          <w:lang w:val="lv-LV"/>
        </w:rPr>
        <w:t>sastādīja</w:t>
      </w:r>
      <w:r w:rsidRPr="00321CBD">
        <w:rPr>
          <w:rFonts w:ascii="Times New Roman" w:hAnsi="Times New Roman" w:cs="Times New Roman"/>
          <w:sz w:val="24"/>
          <w:szCs w:val="24"/>
          <w:lang w:val="lv-LV"/>
        </w:rPr>
        <w:t xml:space="preserve"> tikai 1,7% no visiem gadījumiem. Savukārt literatūrā un pētījumos endometrija atrofija kā izsaucējs </w:t>
      </w:r>
      <w:r w:rsidR="001051A5" w:rsidRPr="00321CBD">
        <w:rPr>
          <w:rFonts w:ascii="Times New Roman" w:hAnsi="Times New Roman" w:cs="Times New Roman"/>
          <w:sz w:val="24"/>
          <w:szCs w:val="24"/>
          <w:lang w:val="lv-LV"/>
        </w:rPr>
        <w:t>patoloģiskai</w:t>
      </w:r>
      <w:r w:rsidRPr="00321CBD">
        <w:rPr>
          <w:rFonts w:ascii="Times New Roman" w:hAnsi="Times New Roman" w:cs="Times New Roman"/>
          <w:sz w:val="24"/>
          <w:szCs w:val="24"/>
          <w:lang w:val="lv-LV"/>
        </w:rPr>
        <w:t xml:space="preserve"> dzemdes asiņošanai figurē no 5 % līdz pat 40%. Ņemot vērā šādu datu izkliedi un vispārēju klasifikācijas piemērojamību, </w:t>
      </w:r>
      <w:r w:rsidR="001051A5">
        <w:rPr>
          <w:rFonts w:ascii="Times New Roman" w:hAnsi="Times New Roman" w:cs="Times New Roman"/>
          <w:sz w:val="24"/>
          <w:szCs w:val="24"/>
          <w:lang w:val="lv-LV"/>
        </w:rPr>
        <w:t>ir iespējams</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klasifikāciju adaptēt arī menopauzes vecuma sievietēm. Piemēram</w:t>
      </w:r>
      <w:r w:rsidR="001051A5">
        <w:rPr>
          <w:rFonts w:ascii="Times New Roman" w:hAnsi="Times New Roman" w:cs="Times New Roman"/>
          <w:sz w:val="24"/>
          <w:szCs w:val="24"/>
          <w:lang w:val="lv-LV"/>
        </w:rPr>
        <w:t>,</w:t>
      </w:r>
      <w:r w:rsidRPr="00321CBD">
        <w:rPr>
          <w:rFonts w:ascii="Times New Roman" w:hAnsi="Times New Roman" w:cs="Times New Roman"/>
          <w:sz w:val="24"/>
          <w:szCs w:val="24"/>
          <w:lang w:val="lv-LV"/>
        </w:rPr>
        <w:t xml:space="preserve"> </w:t>
      </w:r>
      <w:r w:rsidR="001051A5" w:rsidRPr="00321CBD">
        <w:rPr>
          <w:rFonts w:ascii="Times New Roman" w:hAnsi="Times New Roman" w:cs="Times New Roman"/>
          <w:sz w:val="24"/>
          <w:szCs w:val="24"/>
          <w:lang w:val="lv-LV"/>
        </w:rPr>
        <w:t>pārve</w:t>
      </w:r>
      <w:r w:rsidR="001051A5">
        <w:rPr>
          <w:rFonts w:ascii="Times New Roman" w:hAnsi="Times New Roman" w:cs="Times New Roman"/>
          <w:sz w:val="24"/>
          <w:szCs w:val="24"/>
          <w:lang w:val="lv-LV"/>
        </w:rPr>
        <w:t>i</w:t>
      </w:r>
      <w:r w:rsidR="001051A5" w:rsidRPr="00321CBD">
        <w:rPr>
          <w:rFonts w:ascii="Times New Roman" w:hAnsi="Times New Roman" w:cs="Times New Roman"/>
          <w:sz w:val="24"/>
          <w:szCs w:val="24"/>
          <w:lang w:val="lv-LV"/>
        </w:rPr>
        <w:t>dojot</w:t>
      </w:r>
      <w:r w:rsidRPr="00321CBD">
        <w:rPr>
          <w:rFonts w:ascii="Times New Roman" w:hAnsi="Times New Roman" w:cs="Times New Roman"/>
          <w:sz w:val="24"/>
          <w:szCs w:val="24"/>
          <w:lang w:val="lv-LV"/>
        </w:rPr>
        <w:t xml:space="preserve"> PALM sadaļu par PAALM, kur otrais „A” burts nozīmētu atrofiju</w:t>
      </w:r>
      <w:r w:rsidR="001051A5">
        <w:rPr>
          <w:rFonts w:ascii="Times New Roman" w:hAnsi="Times New Roman" w:cs="Times New Roman"/>
          <w:sz w:val="24"/>
          <w:szCs w:val="24"/>
          <w:lang w:val="lv-LV"/>
        </w:rPr>
        <w:t>, t</w:t>
      </w:r>
      <w:r w:rsidRPr="00321CBD">
        <w:rPr>
          <w:rFonts w:ascii="Times New Roman" w:hAnsi="Times New Roman" w:cs="Times New Roman"/>
          <w:sz w:val="24"/>
          <w:szCs w:val="24"/>
          <w:lang w:val="lv-LV"/>
        </w:rPr>
        <w:t>ad</w:t>
      </w:r>
      <w:r w:rsidR="001051A5">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to </w:t>
      </w:r>
      <w:r w:rsidR="001051A5">
        <w:rPr>
          <w:rFonts w:ascii="Times New Roman" w:hAnsi="Times New Roman" w:cs="Times New Roman"/>
          <w:sz w:val="24"/>
          <w:szCs w:val="24"/>
          <w:lang w:val="lv-LV"/>
        </w:rPr>
        <w:t>būtu iespējams</w:t>
      </w:r>
      <w:r w:rsidR="001051A5" w:rsidRPr="00321CBD">
        <w:rPr>
          <w:rFonts w:ascii="Times New Roman" w:hAnsi="Times New Roman" w:cs="Times New Roman"/>
          <w:sz w:val="24"/>
          <w:szCs w:val="24"/>
          <w:lang w:val="lv-LV"/>
        </w:rPr>
        <w:t xml:space="preserve"> </w:t>
      </w:r>
      <w:r w:rsidRPr="00321CBD">
        <w:rPr>
          <w:rFonts w:ascii="Times New Roman" w:hAnsi="Times New Roman" w:cs="Times New Roman"/>
          <w:sz w:val="24"/>
          <w:szCs w:val="24"/>
          <w:lang w:val="lv-LV"/>
        </w:rPr>
        <w:t xml:space="preserve">izmantot praksē arī </w:t>
      </w:r>
      <w:r w:rsidR="001051A5" w:rsidRPr="00321CBD">
        <w:rPr>
          <w:rFonts w:ascii="Times New Roman" w:hAnsi="Times New Roman" w:cs="Times New Roman"/>
          <w:sz w:val="24"/>
          <w:szCs w:val="24"/>
          <w:lang w:val="lv-LV"/>
        </w:rPr>
        <w:t>menopauzes</w:t>
      </w:r>
      <w:r w:rsidRPr="00321CBD">
        <w:rPr>
          <w:rFonts w:ascii="Times New Roman" w:hAnsi="Times New Roman" w:cs="Times New Roman"/>
          <w:sz w:val="24"/>
          <w:szCs w:val="24"/>
          <w:lang w:val="lv-LV"/>
        </w:rPr>
        <w:t xml:space="preserve"> vecuma sievietēm. </w:t>
      </w:r>
    </w:p>
    <w:p w14:paraId="30370349" w14:textId="77777777" w:rsidR="00DA3820" w:rsidRPr="00321CBD" w:rsidRDefault="00DA3820" w:rsidP="00DA3820">
      <w:pPr>
        <w:rPr>
          <w:rFonts w:ascii="Times New Roman" w:hAnsi="Times New Roman" w:cs="Times New Roman"/>
          <w:sz w:val="24"/>
          <w:szCs w:val="24"/>
          <w:u w:val="single"/>
          <w:lang w:val="lv-LV"/>
        </w:rPr>
      </w:pPr>
      <w:r w:rsidRPr="00321CBD">
        <w:rPr>
          <w:rFonts w:ascii="Times New Roman" w:hAnsi="Times New Roman" w:cs="Times New Roman"/>
          <w:sz w:val="24"/>
          <w:szCs w:val="24"/>
          <w:u w:val="single"/>
          <w:lang w:val="lv-LV"/>
        </w:rPr>
        <w:br w:type="page"/>
      </w:r>
    </w:p>
    <w:p w14:paraId="4985C629" w14:textId="34FE3214" w:rsidR="00DA3820" w:rsidRPr="00A42E68" w:rsidRDefault="001051A5" w:rsidP="00DA3820">
      <w:pPr>
        <w:spacing w:line="360" w:lineRule="auto"/>
        <w:jc w:val="both"/>
        <w:rPr>
          <w:rFonts w:ascii="Times New Roman" w:hAnsi="Times New Roman" w:cs="Times New Roman"/>
          <w:b/>
          <w:sz w:val="24"/>
          <w:szCs w:val="24"/>
          <w:lang w:val="lv-LV"/>
        </w:rPr>
      </w:pPr>
      <w:r w:rsidRPr="00A42E68">
        <w:rPr>
          <w:rFonts w:ascii="Times New Roman" w:hAnsi="Times New Roman" w:cs="Times New Roman"/>
          <w:b/>
          <w:sz w:val="24"/>
          <w:szCs w:val="24"/>
          <w:lang w:val="lv-LV"/>
        </w:rPr>
        <w:lastRenderedPageBreak/>
        <w:t>Secinājumi</w:t>
      </w:r>
      <w:r w:rsidR="00DA3820" w:rsidRPr="00A42E68">
        <w:rPr>
          <w:rFonts w:ascii="Times New Roman" w:hAnsi="Times New Roman" w:cs="Times New Roman"/>
          <w:b/>
          <w:sz w:val="24"/>
          <w:szCs w:val="24"/>
          <w:lang w:val="lv-LV"/>
        </w:rPr>
        <w:t>:</w:t>
      </w:r>
    </w:p>
    <w:p w14:paraId="2C0FE70A" w14:textId="16D3F6D2" w:rsidR="00DA3820" w:rsidRPr="00321CBD" w:rsidRDefault="00DA3820" w:rsidP="00DA3820">
      <w:pPr>
        <w:pStyle w:val="ListParagraph"/>
        <w:numPr>
          <w:ilvl w:val="0"/>
          <w:numId w:val="10"/>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 xml:space="preserve">Histeroskopija / histerorezektoskopija ir vērtīga metode patoloģiskas dzemdes asiņošanas </w:t>
      </w:r>
      <w:r w:rsidR="001051A5" w:rsidRPr="00321CBD">
        <w:rPr>
          <w:rFonts w:ascii="Times New Roman" w:hAnsi="Times New Roman" w:cs="Times New Roman"/>
          <w:sz w:val="24"/>
          <w:szCs w:val="24"/>
          <w:lang w:val="lv-LV"/>
        </w:rPr>
        <w:t>izmeklēšan</w:t>
      </w:r>
      <w:r w:rsidR="001051A5">
        <w:rPr>
          <w:rFonts w:ascii="Times New Roman" w:hAnsi="Times New Roman" w:cs="Times New Roman"/>
          <w:sz w:val="24"/>
          <w:szCs w:val="24"/>
          <w:lang w:val="lv-LV"/>
        </w:rPr>
        <w:t>ā.</w:t>
      </w:r>
    </w:p>
    <w:p w14:paraId="791F43CB" w14:textId="77777777" w:rsidR="00DA3820" w:rsidRPr="00321CBD" w:rsidRDefault="00DA3820" w:rsidP="00DA3820">
      <w:pPr>
        <w:pStyle w:val="ListParagraph"/>
        <w:numPr>
          <w:ilvl w:val="0"/>
          <w:numId w:val="10"/>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PALM – COEIN klasifikācija ir pielietojama praksē analizējot datus un izmeklējot pacienti ar patoloģisku dzemdes asiņošanu.</w:t>
      </w:r>
    </w:p>
    <w:p w14:paraId="3F78C8CB" w14:textId="4A80BC3A" w:rsidR="00DA3820" w:rsidRPr="00321CBD" w:rsidRDefault="00DA3820" w:rsidP="00DA3820">
      <w:pPr>
        <w:pStyle w:val="ListParagraph"/>
        <w:numPr>
          <w:ilvl w:val="0"/>
          <w:numId w:val="10"/>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Strukturālo dzemdes patoloģiju struktūra dotajā pētījumā neatšķiras no starptautiskās</w:t>
      </w:r>
      <w:r w:rsidR="001051A5">
        <w:rPr>
          <w:rFonts w:ascii="Times New Roman" w:hAnsi="Times New Roman" w:cs="Times New Roman"/>
          <w:sz w:val="24"/>
          <w:szCs w:val="24"/>
          <w:lang w:val="lv-LV"/>
        </w:rPr>
        <w:t xml:space="preserve"> struktūras</w:t>
      </w:r>
      <w:r w:rsidRPr="00321CBD">
        <w:rPr>
          <w:rFonts w:ascii="Times New Roman" w:hAnsi="Times New Roman" w:cs="Times New Roman"/>
          <w:sz w:val="24"/>
          <w:szCs w:val="24"/>
          <w:lang w:val="lv-LV"/>
        </w:rPr>
        <w:t xml:space="preserve">, bet ir </w:t>
      </w:r>
      <w:r w:rsidR="001051A5" w:rsidRPr="00321CBD">
        <w:rPr>
          <w:rFonts w:ascii="Times New Roman" w:hAnsi="Times New Roman" w:cs="Times New Roman"/>
          <w:sz w:val="24"/>
          <w:szCs w:val="24"/>
          <w:lang w:val="lv-LV"/>
        </w:rPr>
        <w:t>nepieciešami</w:t>
      </w:r>
      <w:r w:rsidRPr="00321CBD">
        <w:rPr>
          <w:rFonts w:ascii="Times New Roman" w:hAnsi="Times New Roman" w:cs="Times New Roman"/>
          <w:sz w:val="24"/>
          <w:szCs w:val="24"/>
          <w:lang w:val="lv-LV"/>
        </w:rPr>
        <w:t xml:space="preserve"> </w:t>
      </w:r>
      <w:r w:rsidR="001051A5" w:rsidRPr="00321CBD">
        <w:rPr>
          <w:rFonts w:ascii="Times New Roman" w:hAnsi="Times New Roman" w:cs="Times New Roman"/>
          <w:sz w:val="24"/>
          <w:szCs w:val="24"/>
          <w:lang w:val="lv-LV"/>
        </w:rPr>
        <w:t>tālāki</w:t>
      </w:r>
      <w:r w:rsidRPr="00321CBD">
        <w:rPr>
          <w:rFonts w:ascii="Times New Roman" w:hAnsi="Times New Roman" w:cs="Times New Roman"/>
          <w:sz w:val="24"/>
          <w:szCs w:val="24"/>
          <w:lang w:val="lv-LV"/>
        </w:rPr>
        <w:t xml:space="preserve"> </w:t>
      </w:r>
      <w:r w:rsidR="001051A5" w:rsidRPr="00321CBD">
        <w:rPr>
          <w:rFonts w:ascii="Times New Roman" w:hAnsi="Times New Roman" w:cs="Times New Roman"/>
          <w:sz w:val="24"/>
          <w:szCs w:val="24"/>
          <w:lang w:val="lv-LV"/>
        </w:rPr>
        <w:t>pētījumi</w:t>
      </w:r>
      <w:r w:rsidRPr="00321CBD">
        <w:rPr>
          <w:rFonts w:ascii="Times New Roman" w:hAnsi="Times New Roman" w:cs="Times New Roman"/>
          <w:sz w:val="24"/>
          <w:szCs w:val="24"/>
          <w:lang w:val="lv-LV"/>
        </w:rPr>
        <w:t xml:space="preserve"> lai rezultātus varētu </w:t>
      </w:r>
      <w:r w:rsidR="001051A5" w:rsidRPr="00321CBD">
        <w:rPr>
          <w:rFonts w:ascii="Times New Roman" w:hAnsi="Times New Roman" w:cs="Times New Roman"/>
          <w:sz w:val="24"/>
          <w:szCs w:val="24"/>
          <w:lang w:val="lv-LV"/>
        </w:rPr>
        <w:t>vispārināt</w:t>
      </w:r>
      <w:r w:rsidRPr="00321CBD">
        <w:rPr>
          <w:rFonts w:ascii="Times New Roman" w:hAnsi="Times New Roman" w:cs="Times New Roman"/>
          <w:sz w:val="24"/>
          <w:szCs w:val="24"/>
          <w:lang w:val="lv-LV"/>
        </w:rPr>
        <w:t xml:space="preserve"> uz Latvijas populāciju. </w:t>
      </w:r>
    </w:p>
    <w:p w14:paraId="17BBEBF1" w14:textId="77777777" w:rsidR="00DA3820" w:rsidRPr="00321CBD" w:rsidRDefault="00DA3820" w:rsidP="00DA3820">
      <w:pPr>
        <w:pStyle w:val="ListParagraph"/>
        <w:numPr>
          <w:ilvl w:val="0"/>
          <w:numId w:val="10"/>
        </w:numPr>
        <w:spacing w:line="360" w:lineRule="auto"/>
        <w:jc w:val="both"/>
        <w:rPr>
          <w:rFonts w:ascii="Times New Roman" w:hAnsi="Times New Roman" w:cs="Times New Roman"/>
          <w:sz w:val="24"/>
          <w:szCs w:val="24"/>
          <w:lang w:val="lv-LV"/>
        </w:rPr>
      </w:pPr>
      <w:r w:rsidRPr="00321CBD">
        <w:rPr>
          <w:rFonts w:ascii="Times New Roman" w:hAnsi="Times New Roman" w:cs="Times New Roman"/>
          <w:sz w:val="24"/>
          <w:szCs w:val="24"/>
          <w:lang w:val="lv-LV"/>
        </w:rPr>
        <w:t>PALM – COEIN klasifikācija būtu adaptējama arī izmeklēšanai menopauzes vecuma pacientēm ar patoloģisku dzemdes asiņošanu.</w:t>
      </w:r>
    </w:p>
    <w:p w14:paraId="15EF96E4" w14:textId="2793705B" w:rsidR="007643D3" w:rsidRDefault="007643D3">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5E4A29AD" w14:textId="5E2DAAC9" w:rsidR="00BA6C73" w:rsidRPr="00BF4640" w:rsidRDefault="007643D3" w:rsidP="00222FE0">
      <w:pPr>
        <w:spacing w:line="360" w:lineRule="auto"/>
        <w:jc w:val="both"/>
        <w:rPr>
          <w:rFonts w:ascii="Times New Roman" w:hAnsi="Times New Roman" w:cs="Times New Roman"/>
          <w:b/>
          <w:sz w:val="24"/>
          <w:szCs w:val="24"/>
          <w:lang w:val="lv-LV"/>
        </w:rPr>
      </w:pPr>
      <w:r w:rsidRPr="00BF4640">
        <w:rPr>
          <w:rFonts w:ascii="Times New Roman" w:hAnsi="Times New Roman" w:cs="Times New Roman"/>
          <w:b/>
          <w:sz w:val="24"/>
          <w:szCs w:val="24"/>
          <w:lang w:val="lv-LV"/>
        </w:rPr>
        <w:lastRenderedPageBreak/>
        <w:t>Literatūras saraksts</w:t>
      </w:r>
    </w:p>
    <w:p w14:paraId="18FDD22A" w14:textId="7CEA3D18" w:rsidR="007643D3" w:rsidRDefault="007643D3"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Dinic S.P.T., Kopitovic V, </w:t>
      </w:r>
      <w:r w:rsidR="00A70483">
        <w:rPr>
          <w:rFonts w:ascii="Times New Roman" w:hAnsi="Times New Roman" w:cs="Times New Roman"/>
          <w:sz w:val="24"/>
          <w:szCs w:val="24"/>
          <w:lang w:val="lv-LV"/>
        </w:rPr>
        <w:t>Antic V., Stamenovic S., Mitic Dejan, Milosevic J. Role of hysteroscopy in evaluation of patients with abnormal uterine bleeding. Scientific Journal of the faculty of medicine in Niš. 2011; 28(3): 177 – 181 lpp.</w:t>
      </w:r>
      <w:r w:rsidR="00844E4B">
        <w:rPr>
          <w:rFonts w:ascii="Times New Roman" w:hAnsi="Times New Roman" w:cs="Times New Roman"/>
          <w:sz w:val="24"/>
          <w:szCs w:val="24"/>
          <w:lang w:val="lv-LV"/>
        </w:rPr>
        <w:t xml:space="preserve"> </w:t>
      </w:r>
    </w:p>
    <w:p w14:paraId="057CED54" w14:textId="0E5E043D" w:rsidR="00A70483" w:rsidRDefault="00A70483"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Jyotsana</w:t>
      </w:r>
      <w:r w:rsidR="00452B0B">
        <w:rPr>
          <w:rFonts w:ascii="Times New Roman" w:hAnsi="Times New Roman" w:cs="Times New Roman"/>
          <w:sz w:val="24"/>
          <w:szCs w:val="24"/>
          <w:lang w:val="lv-LV"/>
        </w:rPr>
        <w:t xml:space="preserve">, Manhas K., Sharma S. Role of hysteroscopy and laparoscopy in evaluation of abnormal uterine bleeding. </w:t>
      </w:r>
      <w:r w:rsidR="00FB2755">
        <w:rPr>
          <w:rFonts w:ascii="Times New Roman" w:hAnsi="Times New Roman" w:cs="Times New Roman"/>
          <w:sz w:val="24"/>
          <w:szCs w:val="24"/>
          <w:lang w:val="lv-LV"/>
        </w:rPr>
        <w:t>JK science. Journal of Medical E</w:t>
      </w:r>
      <w:r w:rsidR="00AD5EAC">
        <w:rPr>
          <w:rFonts w:ascii="Times New Roman" w:hAnsi="Times New Roman" w:cs="Times New Roman"/>
          <w:sz w:val="24"/>
          <w:szCs w:val="24"/>
          <w:lang w:val="lv-LV"/>
        </w:rPr>
        <w:t xml:space="preserve">ducation and </w:t>
      </w:r>
      <w:r w:rsidR="00FB2755">
        <w:rPr>
          <w:rFonts w:ascii="Times New Roman" w:hAnsi="Times New Roman" w:cs="Times New Roman"/>
          <w:sz w:val="24"/>
          <w:szCs w:val="24"/>
          <w:lang w:val="lv-LV"/>
        </w:rPr>
        <w:t>R</w:t>
      </w:r>
      <w:r w:rsidR="00AD5EAC">
        <w:rPr>
          <w:rFonts w:ascii="Times New Roman" w:hAnsi="Times New Roman" w:cs="Times New Roman"/>
          <w:sz w:val="24"/>
          <w:szCs w:val="24"/>
          <w:lang w:val="lv-LV"/>
        </w:rPr>
        <w:t xml:space="preserve">esearch. </w:t>
      </w:r>
      <w:r w:rsidR="00452B0B">
        <w:rPr>
          <w:rFonts w:ascii="Times New Roman" w:hAnsi="Times New Roman" w:cs="Times New Roman"/>
          <w:sz w:val="24"/>
          <w:szCs w:val="24"/>
          <w:lang w:val="lv-LV"/>
        </w:rPr>
        <w:t>2004; Vol.6 (1); 23 – 27 lpp.</w:t>
      </w:r>
      <w:r w:rsidR="00844E4B">
        <w:rPr>
          <w:rFonts w:ascii="Times New Roman" w:hAnsi="Times New Roman" w:cs="Times New Roman"/>
          <w:sz w:val="24"/>
          <w:szCs w:val="24"/>
          <w:lang w:val="lv-LV"/>
        </w:rPr>
        <w:t xml:space="preserve"> </w:t>
      </w:r>
    </w:p>
    <w:p w14:paraId="7AAF254A" w14:textId="22D89CB4" w:rsidR="00452B0B" w:rsidRDefault="00452B0B"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Mencaglia L., Neto Cavalcanti de Albuquerque L., Alvarez Arias A.R. Manual of hysteroscopy. Diagnostic, operative and office hysteroscopy. </w:t>
      </w:r>
      <w:r w:rsidR="00AD5EAC">
        <w:rPr>
          <w:rFonts w:ascii="Times New Roman" w:hAnsi="Times New Roman" w:cs="Times New Roman"/>
          <w:sz w:val="24"/>
          <w:szCs w:val="24"/>
          <w:lang w:val="lv-LV"/>
        </w:rPr>
        <w:t xml:space="preserve">Endo Press, Tuttlingen, Germany; </w:t>
      </w:r>
      <w:r>
        <w:rPr>
          <w:rFonts w:ascii="Times New Roman" w:hAnsi="Times New Roman" w:cs="Times New Roman"/>
          <w:sz w:val="24"/>
          <w:szCs w:val="24"/>
          <w:lang w:val="lv-LV"/>
        </w:rPr>
        <w:t>2013</w:t>
      </w:r>
      <w:r w:rsidR="00AD5EAC">
        <w:rPr>
          <w:rFonts w:ascii="Times New Roman" w:hAnsi="Times New Roman" w:cs="Times New Roman"/>
          <w:sz w:val="24"/>
          <w:szCs w:val="24"/>
          <w:lang w:val="lv-LV"/>
        </w:rPr>
        <w:t>; 28. lpp. ISBN 978-3-89756-409-1</w:t>
      </w:r>
    </w:p>
    <w:p w14:paraId="1CC99E29" w14:textId="618C7FFA" w:rsidR="00AD5EAC" w:rsidRDefault="00AD5EAC"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Munro M.G., Critchley H.O.D., Broder M.S., Fraser I.S. FIGO classification system (PALM - COEIN) for causes of abnormal uterine bleeding in nongravid women of reproductive age. International Journal of Gynecology and Obstetrics. 2011; 113: 3 – 13 lpp.</w:t>
      </w:r>
      <w:r w:rsidR="00844E4B">
        <w:rPr>
          <w:rFonts w:ascii="Times New Roman" w:hAnsi="Times New Roman" w:cs="Times New Roman"/>
          <w:sz w:val="24"/>
          <w:szCs w:val="24"/>
          <w:lang w:val="lv-LV"/>
        </w:rPr>
        <w:t xml:space="preserve"> </w:t>
      </w:r>
    </w:p>
    <w:p w14:paraId="6450B648" w14:textId="42870DC7" w:rsidR="00627225" w:rsidRPr="00D00EFD" w:rsidRDefault="00627225" w:rsidP="00627225">
      <w:pPr>
        <w:pStyle w:val="FootnoteText"/>
        <w:numPr>
          <w:ilvl w:val="0"/>
          <w:numId w:val="11"/>
        </w:numPr>
        <w:spacing w:line="360" w:lineRule="auto"/>
        <w:rPr>
          <w:sz w:val="24"/>
          <w:szCs w:val="24"/>
        </w:rPr>
      </w:pPr>
      <w:r w:rsidRPr="00D00EFD">
        <w:rPr>
          <w:sz w:val="24"/>
          <w:szCs w:val="24"/>
        </w:rPr>
        <w:t xml:space="preserve">Vibergas </w:t>
      </w:r>
      <w:r>
        <w:rPr>
          <w:sz w:val="24"/>
          <w:szCs w:val="24"/>
        </w:rPr>
        <w:t xml:space="preserve">I. </w:t>
      </w:r>
      <w:r w:rsidRPr="00D00EFD">
        <w:rPr>
          <w:sz w:val="24"/>
          <w:szCs w:val="24"/>
        </w:rPr>
        <w:t xml:space="preserve">redakcijā, </w:t>
      </w:r>
      <w:r>
        <w:rPr>
          <w:sz w:val="24"/>
          <w:szCs w:val="24"/>
        </w:rPr>
        <w:t>Ginekoloģija -  Rīga: Latvijas Medicīniskais apgāds, 2013. – 99 – 112 lpp.. ISBN 978-9984-62-2</w:t>
      </w:r>
      <w:r w:rsidR="00844E4B">
        <w:rPr>
          <w:sz w:val="24"/>
          <w:szCs w:val="24"/>
        </w:rPr>
        <w:t xml:space="preserve"> </w:t>
      </w:r>
    </w:p>
    <w:p w14:paraId="0BF3E184" w14:textId="4694FD71" w:rsidR="00AD5EAC" w:rsidRDefault="00627225"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Campbell, Monga. International student’s edition gynaecology by ten teachers. 18 ed. London: Hodder Education, 2006. – 43 – 58 lpp. ISBN 9780340816622</w:t>
      </w:r>
    </w:p>
    <w:p w14:paraId="336808F2" w14:textId="5DD170FB" w:rsidR="0020050A" w:rsidRDefault="0051495C"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Donnez J. editor. Atlas of operative laparoscopy and hysteroscopy, 3 edition. </w:t>
      </w:r>
      <w:r w:rsidR="0020050A">
        <w:rPr>
          <w:rFonts w:ascii="Times New Roman" w:hAnsi="Times New Roman" w:cs="Times New Roman"/>
          <w:sz w:val="24"/>
          <w:szCs w:val="24"/>
          <w:lang w:val="lv-LV"/>
        </w:rPr>
        <w:t>Milton Park: Informa Healthcare, 2007. – 465 – 468 lpp. ISBN 9780415384155</w:t>
      </w:r>
    </w:p>
    <w:p w14:paraId="5BC2487A" w14:textId="57245265" w:rsidR="00627225" w:rsidRDefault="0020050A"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Schorge J.O., Schaffer J. I., Halvorson L.M., Hoffman B.L.,  Bradshaw K.D., Cunningham G.F. editors. Williams Gynecology. The McGraw – Hill, 2008. – 370.</w:t>
      </w:r>
      <w:r w:rsidR="002C4E19">
        <w:rPr>
          <w:rFonts w:ascii="Times New Roman" w:hAnsi="Times New Roman" w:cs="Times New Roman"/>
          <w:sz w:val="24"/>
          <w:szCs w:val="24"/>
          <w:lang w:val="lv-LV"/>
        </w:rPr>
        <w:t xml:space="preserve"> </w:t>
      </w:r>
      <w:r>
        <w:rPr>
          <w:rFonts w:ascii="Times New Roman" w:hAnsi="Times New Roman" w:cs="Times New Roman"/>
          <w:sz w:val="24"/>
          <w:szCs w:val="24"/>
          <w:lang w:val="lv-LV"/>
        </w:rPr>
        <w:t>lpp. ISBN 9780071472579</w:t>
      </w:r>
    </w:p>
    <w:p w14:paraId="555E37CC" w14:textId="23EC6647" w:rsidR="002C4E19" w:rsidRDefault="002C4E19"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Allameh T., Mohammadizadeh F. Diagnostic value of hysteroscopy in abnormal uterine bleeding compared</w:t>
      </w:r>
      <w:r w:rsidR="000A7AD3">
        <w:rPr>
          <w:rFonts w:ascii="Times New Roman" w:hAnsi="Times New Roman" w:cs="Times New Roman"/>
          <w:sz w:val="24"/>
          <w:szCs w:val="24"/>
          <w:lang w:val="lv-LV"/>
        </w:rPr>
        <w:t xml:space="preserve"> to pathology reports. Iranian Journal of Reproductive M</w:t>
      </w:r>
      <w:r>
        <w:rPr>
          <w:rFonts w:ascii="Times New Roman" w:hAnsi="Times New Roman" w:cs="Times New Roman"/>
          <w:sz w:val="24"/>
          <w:szCs w:val="24"/>
          <w:lang w:val="lv-LV"/>
        </w:rPr>
        <w:t>edicine. 2007; Vol. 5 (2); 61 – 64 lpp.</w:t>
      </w:r>
    </w:p>
    <w:p w14:paraId="2F685BEB" w14:textId="4214DAD4" w:rsidR="002C4E19" w:rsidRDefault="00844E4B"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Rawdha K.A.K. Clinical effectiveness of hysteroscopy in abnnorma</w:t>
      </w:r>
      <w:r w:rsidR="000A7AD3">
        <w:rPr>
          <w:rFonts w:ascii="Times New Roman" w:hAnsi="Times New Roman" w:cs="Times New Roman"/>
          <w:sz w:val="24"/>
          <w:szCs w:val="24"/>
          <w:lang w:val="lv-LV"/>
        </w:rPr>
        <w:t>l uterine bleeding. Journal of Obstetrics and G</w:t>
      </w:r>
      <w:r>
        <w:rPr>
          <w:rFonts w:ascii="Times New Roman" w:hAnsi="Times New Roman" w:cs="Times New Roman"/>
          <w:sz w:val="24"/>
          <w:szCs w:val="24"/>
          <w:lang w:val="lv-LV"/>
        </w:rPr>
        <w:t>ynaecology. 2001; Vol. 21 (6), 614 – 616 lpp. ISSN 01443615</w:t>
      </w:r>
    </w:p>
    <w:p w14:paraId="1950844C" w14:textId="639C208B" w:rsidR="00844E4B" w:rsidRDefault="00844E4B"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Guin G., Sandhu S. K., Lele A., Khare S. Hysteroscopy in evaluation of </w:t>
      </w:r>
      <w:r w:rsidR="000A7AD3">
        <w:rPr>
          <w:rFonts w:ascii="Times New Roman" w:hAnsi="Times New Roman" w:cs="Times New Roman"/>
          <w:sz w:val="24"/>
          <w:szCs w:val="24"/>
          <w:lang w:val="lv-LV"/>
        </w:rPr>
        <w:t>abnormal uterine bleeding. The J</w:t>
      </w:r>
      <w:r>
        <w:rPr>
          <w:rFonts w:ascii="Times New Roman" w:hAnsi="Times New Roman" w:cs="Times New Roman"/>
          <w:sz w:val="24"/>
          <w:szCs w:val="24"/>
          <w:lang w:val="lv-LV"/>
        </w:rPr>
        <w:t xml:space="preserve">ournal of </w:t>
      </w:r>
      <w:r w:rsidR="000A7AD3">
        <w:rPr>
          <w:rFonts w:ascii="Times New Roman" w:hAnsi="Times New Roman" w:cs="Times New Roman"/>
          <w:sz w:val="24"/>
          <w:szCs w:val="24"/>
          <w:lang w:val="lv-LV"/>
        </w:rPr>
        <w:t>Obstetrics and G</w:t>
      </w:r>
      <w:r>
        <w:rPr>
          <w:rFonts w:ascii="Times New Roman" w:hAnsi="Times New Roman" w:cs="Times New Roman"/>
          <w:sz w:val="24"/>
          <w:szCs w:val="24"/>
          <w:lang w:val="lv-LV"/>
        </w:rPr>
        <w:t>ynecology of India. 2011; 61 (5), 546</w:t>
      </w:r>
      <w:r w:rsidR="00552D1D">
        <w:rPr>
          <w:rFonts w:ascii="Times New Roman" w:hAnsi="Times New Roman" w:cs="Times New Roman"/>
          <w:sz w:val="24"/>
          <w:szCs w:val="24"/>
          <w:lang w:val="lv-LV"/>
        </w:rPr>
        <w:t xml:space="preserve"> – 549 lpp. </w:t>
      </w:r>
    </w:p>
    <w:p w14:paraId="0F86D1A2" w14:textId="36D642E4" w:rsidR="00844E4B" w:rsidRDefault="000A7AD3"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Lalchandani S., Phillips K. Evaluation of endometrial cavity – ivestigation options. Reviews in Gynaecological Practice. 2003; Vol. 3; 16</w:t>
      </w:r>
      <w:r w:rsidR="00552D1D">
        <w:rPr>
          <w:rFonts w:ascii="Times New Roman" w:hAnsi="Times New Roman" w:cs="Times New Roman"/>
          <w:sz w:val="24"/>
          <w:szCs w:val="24"/>
          <w:lang w:val="lv-LV"/>
        </w:rPr>
        <w:t xml:space="preserve">5 – 170 lpp. </w:t>
      </w:r>
    </w:p>
    <w:p w14:paraId="487E5ECF" w14:textId="0008A52B" w:rsidR="000A7AD3" w:rsidRDefault="000A7AD3" w:rsidP="007643D3">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Soguktas S., Cogendez E., Kayatas S. E., Asoglu M. R., Selcuk S., Ertekin A. Comparison of saline infusion sonohysterography and hysteroscopy in diagnosis of premenopausal women with abnormal uterine bleeding. European Journal of Obstetrics &amp; Gynecology and Reproductive Biology. 2012; 161; 66 – 70 lpp.</w:t>
      </w:r>
    </w:p>
    <w:p w14:paraId="2A0B9C2F" w14:textId="5A5C291C" w:rsidR="00111D8D" w:rsidRDefault="00FB2755" w:rsidP="00111D8D">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Patil S.G., Bhute S.B., Inamdar S.A., Acharya N.S., Shrivastava D.S. Role of diagnostic hysteroscopy in abnormal uterine bleeding and its histopathologic correlation. </w:t>
      </w:r>
      <w:r w:rsidR="00111D8D">
        <w:rPr>
          <w:rFonts w:ascii="Times New Roman" w:hAnsi="Times New Roman" w:cs="Times New Roman"/>
          <w:sz w:val="24"/>
          <w:szCs w:val="24"/>
          <w:lang w:val="lv-LV"/>
        </w:rPr>
        <w:t>Journal of Gynecological Endoscopy and Surgery. 2009; Vol</w:t>
      </w:r>
      <w:r w:rsidR="00552D1D">
        <w:rPr>
          <w:rFonts w:ascii="Times New Roman" w:hAnsi="Times New Roman" w:cs="Times New Roman"/>
          <w:sz w:val="24"/>
          <w:szCs w:val="24"/>
          <w:lang w:val="lv-LV"/>
        </w:rPr>
        <w:t>.1 (2); 98 – 104 lpp.</w:t>
      </w:r>
    </w:p>
    <w:p w14:paraId="458C3464" w14:textId="7E95482C" w:rsidR="00111D8D" w:rsidRDefault="00111D8D" w:rsidP="00111D8D">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Van den Bosch T., Ameye L., Van Schoubroeck D., Bourne T., Timmerman D. Intra-cavitary uterine pathology in women with abnormal uterine bleeding: a prospective study of 1220 women. </w:t>
      </w:r>
      <w:r w:rsidR="00000225">
        <w:rPr>
          <w:rFonts w:ascii="Times New Roman" w:hAnsi="Times New Roman" w:cs="Times New Roman"/>
          <w:sz w:val="24"/>
          <w:szCs w:val="24"/>
          <w:lang w:val="lv-LV"/>
        </w:rPr>
        <w:t xml:space="preserve">Facts Views Vis Obgyn. </w:t>
      </w:r>
      <w:r w:rsidR="00CB7EE6">
        <w:rPr>
          <w:rFonts w:ascii="Times New Roman" w:hAnsi="Times New Roman" w:cs="Times New Roman"/>
          <w:sz w:val="24"/>
          <w:szCs w:val="24"/>
          <w:lang w:val="lv-LV"/>
        </w:rPr>
        <w:t>2015; Vol. 7 (1); 17 – 24 lpp.</w:t>
      </w:r>
    </w:p>
    <w:p w14:paraId="219C9458" w14:textId="2060644A" w:rsidR="00CB7EE6" w:rsidRDefault="00000225" w:rsidP="00111D8D">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Veena B.T., Nirmala S. Role of transvaginal sonography and diagnostic hysteroscopy in abnormal uterine bleeding. Journal of Clinical and Diagnostic Research. 2014; Vol 8. (12); 6 – 8 lpp.</w:t>
      </w:r>
      <w:r w:rsidR="005E0C90">
        <w:rPr>
          <w:rFonts w:ascii="Times New Roman" w:hAnsi="Times New Roman" w:cs="Times New Roman"/>
          <w:sz w:val="24"/>
          <w:szCs w:val="24"/>
          <w:lang w:val="lv-LV"/>
        </w:rPr>
        <w:t xml:space="preserve"> </w:t>
      </w:r>
    </w:p>
    <w:p w14:paraId="34CE8012" w14:textId="5591A110" w:rsidR="00552D1D" w:rsidRDefault="005E0C90" w:rsidP="00111D8D">
      <w:pPr>
        <w:pStyle w:val="ListParagraph"/>
        <w:numPr>
          <w:ilvl w:val="0"/>
          <w:numId w:val="11"/>
        </w:numPr>
        <w:spacing w:line="36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van Dongen H., de Kroon C., Jacobi C.,Trimbos B., Jansen F.W. Diagnostic hysteroscopy in abnormal uterine bleeding: a systematic review and meta-analysis. BJOG. 2007; 114; 664 – 675 lpp. </w:t>
      </w:r>
    </w:p>
    <w:p w14:paraId="4EDCBBD4" w14:textId="77777777" w:rsidR="00552D1D" w:rsidRDefault="00552D1D">
      <w:pPr>
        <w:rPr>
          <w:rFonts w:ascii="Times New Roman" w:hAnsi="Times New Roman" w:cs="Times New Roman"/>
          <w:sz w:val="24"/>
          <w:szCs w:val="24"/>
          <w:lang w:val="lv-LV"/>
        </w:rPr>
      </w:pPr>
      <w:r>
        <w:rPr>
          <w:rFonts w:ascii="Times New Roman" w:hAnsi="Times New Roman" w:cs="Times New Roman"/>
          <w:sz w:val="24"/>
          <w:szCs w:val="24"/>
          <w:lang w:val="lv-LV"/>
        </w:rPr>
        <w:br w:type="page"/>
      </w:r>
    </w:p>
    <w:p w14:paraId="2B361A09" w14:textId="2C286486" w:rsidR="00000225" w:rsidRDefault="00A42E68" w:rsidP="00A42E68">
      <w:pPr>
        <w:pStyle w:val="ListParagraph"/>
        <w:spacing w:line="36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lastRenderedPageBreak/>
        <w:t>GALVOJUMS</w:t>
      </w:r>
    </w:p>
    <w:p w14:paraId="24A53BC7" w14:textId="77777777" w:rsidR="00A42E68" w:rsidRDefault="00A42E68" w:rsidP="00552D1D">
      <w:pPr>
        <w:pStyle w:val="ListParagraph"/>
        <w:spacing w:line="360" w:lineRule="auto"/>
        <w:jc w:val="both"/>
        <w:rPr>
          <w:rFonts w:ascii="Times New Roman" w:hAnsi="Times New Roman" w:cs="Times New Roman"/>
          <w:sz w:val="24"/>
          <w:szCs w:val="24"/>
          <w:lang w:val="lv-LV"/>
        </w:rPr>
      </w:pPr>
    </w:p>
    <w:p w14:paraId="71F305A0" w14:textId="09D138E4" w:rsidR="00A42E68" w:rsidRDefault="00A42E68" w:rsidP="00A42E68">
      <w:pPr>
        <w:pStyle w:val="ListParagraph"/>
        <w:spacing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Es, Antons Babuškins ar patakstu apliecinu, ka pētnieciskais darbs ir izstrādāts patstāvīgi, par izmantotajiem informācijas avotiem, materiāliem un datiem ir dotas atsauces. Šis darbs nav nekad nekādā veidā ticis iesniegts nevienai citai komisijai un nekad nav publicēts.</w:t>
      </w:r>
    </w:p>
    <w:p w14:paraId="3A8027EB" w14:textId="77777777" w:rsidR="00A42E68" w:rsidRDefault="00A42E68" w:rsidP="00A42E68">
      <w:pPr>
        <w:pStyle w:val="ListParagraph"/>
        <w:spacing w:line="360" w:lineRule="auto"/>
        <w:ind w:firstLine="720"/>
        <w:jc w:val="both"/>
        <w:rPr>
          <w:rFonts w:ascii="Times New Roman" w:hAnsi="Times New Roman" w:cs="Times New Roman"/>
          <w:sz w:val="24"/>
          <w:szCs w:val="24"/>
          <w:lang w:val="lv-LV"/>
        </w:rPr>
      </w:pPr>
    </w:p>
    <w:p w14:paraId="618838D6" w14:textId="77777777" w:rsidR="00A42E68" w:rsidRDefault="00A42E68" w:rsidP="00A42E68">
      <w:pPr>
        <w:pStyle w:val="ListParagraph"/>
        <w:spacing w:line="360" w:lineRule="auto"/>
        <w:ind w:firstLine="720"/>
        <w:jc w:val="both"/>
        <w:rPr>
          <w:rFonts w:ascii="Times New Roman" w:hAnsi="Times New Roman" w:cs="Times New Roman"/>
          <w:sz w:val="24"/>
          <w:szCs w:val="24"/>
          <w:lang w:val="lv-LV"/>
        </w:rPr>
      </w:pPr>
    </w:p>
    <w:p w14:paraId="41F95B1C" w14:textId="16291432" w:rsidR="00A42E68" w:rsidRDefault="00A42E68" w:rsidP="00A42E68">
      <w:pPr>
        <w:pStyle w:val="ListParagraph"/>
        <w:spacing w:line="36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Datums:</w:t>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r>
      <w:r>
        <w:rPr>
          <w:rFonts w:ascii="Times New Roman" w:hAnsi="Times New Roman" w:cs="Times New Roman"/>
          <w:sz w:val="24"/>
          <w:szCs w:val="24"/>
          <w:lang w:val="lv-LV"/>
        </w:rPr>
        <w:tab/>
        <w:t>Paraksts:</w:t>
      </w:r>
    </w:p>
    <w:p w14:paraId="3B4CDC95" w14:textId="77777777" w:rsidR="005E0C90" w:rsidRPr="00111D8D" w:rsidRDefault="005E0C90" w:rsidP="005E0C90">
      <w:pPr>
        <w:pStyle w:val="ListParagraph"/>
        <w:spacing w:line="360" w:lineRule="auto"/>
        <w:jc w:val="both"/>
        <w:rPr>
          <w:rFonts w:ascii="Times New Roman" w:hAnsi="Times New Roman" w:cs="Times New Roman"/>
          <w:sz w:val="24"/>
          <w:szCs w:val="24"/>
          <w:lang w:val="lv-LV"/>
        </w:rPr>
      </w:pPr>
    </w:p>
    <w:sectPr w:rsidR="005E0C90" w:rsidRPr="00111D8D" w:rsidSect="00DA0EA9">
      <w:footerReference w:type="default" r:id="rId17"/>
      <w:pgSz w:w="12240" w:h="15840" w:code="1"/>
      <w:pgMar w:top="1985" w:right="1418" w:bottom="1134" w:left="1418"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D7E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FCBFFA" w14:textId="77777777" w:rsidR="00403505" w:rsidRDefault="00403505" w:rsidP="000A32A1">
      <w:pPr>
        <w:spacing w:after="0" w:line="240" w:lineRule="auto"/>
      </w:pPr>
      <w:r>
        <w:separator/>
      </w:r>
    </w:p>
  </w:endnote>
  <w:endnote w:type="continuationSeparator" w:id="0">
    <w:p w14:paraId="00A7CAB4" w14:textId="77777777" w:rsidR="00403505" w:rsidRDefault="00403505" w:rsidP="000A3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dvP4DF60E">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569455"/>
      <w:docPartObj>
        <w:docPartGallery w:val="Page Numbers (Bottom of Page)"/>
        <w:docPartUnique/>
      </w:docPartObj>
    </w:sdtPr>
    <w:sdtEndPr>
      <w:rPr>
        <w:noProof/>
      </w:rPr>
    </w:sdtEndPr>
    <w:sdtContent>
      <w:p w14:paraId="61D4EF5C" w14:textId="3DA4397F" w:rsidR="00090782" w:rsidRDefault="00090782">
        <w:pPr>
          <w:pStyle w:val="Footer"/>
          <w:jc w:val="right"/>
        </w:pPr>
        <w:r>
          <w:fldChar w:fldCharType="begin"/>
        </w:r>
        <w:r>
          <w:instrText xml:space="preserve"> PAGE   \* MERGEFORMAT </w:instrText>
        </w:r>
        <w:r>
          <w:fldChar w:fldCharType="separate"/>
        </w:r>
        <w:r w:rsidR="002546F3">
          <w:rPr>
            <w:noProof/>
          </w:rPr>
          <w:t>34</w:t>
        </w:r>
        <w:r>
          <w:rPr>
            <w:noProof/>
          </w:rPr>
          <w:fldChar w:fldCharType="end"/>
        </w:r>
      </w:p>
    </w:sdtContent>
  </w:sdt>
  <w:p w14:paraId="3128564A" w14:textId="77777777" w:rsidR="00090782" w:rsidRDefault="000907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A8457" w14:textId="77777777" w:rsidR="00403505" w:rsidRDefault="00403505" w:rsidP="000A32A1">
      <w:pPr>
        <w:spacing w:after="0" w:line="240" w:lineRule="auto"/>
      </w:pPr>
      <w:r>
        <w:separator/>
      </w:r>
    </w:p>
  </w:footnote>
  <w:footnote w:type="continuationSeparator" w:id="0">
    <w:p w14:paraId="0D5B570A" w14:textId="77777777" w:rsidR="00403505" w:rsidRDefault="00403505" w:rsidP="000A3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29C0"/>
    <w:multiLevelType w:val="hybridMultilevel"/>
    <w:tmpl w:val="A8D2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C1BDD"/>
    <w:multiLevelType w:val="hybridMultilevel"/>
    <w:tmpl w:val="47BE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E81AB1"/>
    <w:multiLevelType w:val="hybridMultilevel"/>
    <w:tmpl w:val="57F27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D38CE"/>
    <w:multiLevelType w:val="hybridMultilevel"/>
    <w:tmpl w:val="FE00CBEA"/>
    <w:lvl w:ilvl="0" w:tplc="D0B2D1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6F7967"/>
    <w:multiLevelType w:val="hybridMultilevel"/>
    <w:tmpl w:val="8DB86A0A"/>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5">
    <w:nsid w:val="22072715"/>
    <w:multiLevelType w:val="hybridMultilevel"/>
    <w:tmpl w:val="14043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0801A0"/>
    <w:multiLevelType w:val="hybridMultilevel"/>
    <w:tmpl w:val="2BDE365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7">
    <w:nsid w:val="38DA3B7D"/>
    <w:multiLevelType w:val="hybridMultilevel"/>
    <w:tmpl w:val="6ED0A75E"/>
    <w:lvl w:ilvl="0" w:tplc="663C72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3F3026"/>
    <w:multiLevelType w:val="hybridMultilevel"/>
    <w:tmpl w:val="7048FD0C"/>
    <w:lvl w:ilvl="0" w:tplc="5A2A71D8">
      <w:start w:val="1"/>
      <w:numFmt w:val="decimal"/>
      <w:lvlText w:val="%1."/>
      <w:lvlJc w:val="left"/>
      <w:pPr>
        <w:ind w:left="12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117B26"/>
    <w:multiLevelType w:val="hybridMultilevel"/>
    <w:tmpl w:val="6EDA2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26148D"/>
    <w:multiLevelType w:val="hybridMultilevel"/>
    <w:tmpl w:val="2182E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E91C20"/>
    <w:multiLevelType w:val="hybridMultilevel"/>
    <w:tmpl w:val="4908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C70803"/>
    <w:multiLevelType w:val="hybridMultilevel"/>
    <w:tmpl w:val="016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2"/>
  </w:num>
  <w:num w:numId="5">
    <w:abstractNumId w:val="11"/>
  </w:num>
  <w:num w:numId="6">
    <w:abstractNumId w:val="5"/>
  </w:num>
  <w:num w:numId="7">
    <w:abstractNumId w:val="0"/>
  </w:num>
  <w:num w:numId="8">
    <w:abstractNumId w:val="7"/>
  </w:num>
  <w:num w:numId="9">
    <w:abstractNumId w:val="12"/>
  </w:num>
  <w:num w:numId="10">
    <w:abstractNumId w:val="4"/>
  </w:num>
  <w:num w:numId="11">
    <w:abstractNumId w:val="10"/>
  </w:num>
  <w:num w:numId="12">
    <w:abstractNumId w:val="8"/>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arba">
    <w15:presenceInfo w15:providerId="None" w15:userId="Baarba"/>
  </w15:person>
  <w15:person w15:author="17.nod Ārsti2">
    <w15:presenceInfo w15:providerId="AD" w15:userId="S-1-5-21-1756492713-3237926752-4011670970-2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AEC"/>
    <w:rsid w:val="00000225"/>
    <w:rsid w:val="00006CA9"/>
    <w:rsid w:val="000130B9"/>
    <w:rsid w:val="00020F17"/>
    <w:rsid w:val="0006372F"/>
    <w:rsid w:val="00072E7B"/>
    <w:rsid w:val="00081599"/>
    <w:rsid w:val="0008353B"/>
    <w:rsid w:val="00090782"/>
    <w:rsid w:val="00091238"/>
    <w:rsid w:val="000928CA"/>
    <w:rsid w:val="000A32A1"/>
    <w:rsid w:val="000A7AD3"/>
    <w:rsid w:val="000C5B17"/>
    <w:rsid w:val="000D04E2"/>
    <w:rsid w:val="000D0667"/>
    <w:rsid w:val="000D33FD"/>
    <w:rsid w:val="000D3620"/>
    <w:rsid w:val="000D69FE"/>
    <w:rsid w:val="000E186A"/>
    <w:rsid w:val="000E4890"/>
    <w:rsid w:val="000E6C1C"/>
    <w:rsid w:val="000E6D57"/>
    <w:rsid w:val="000F4C72"/>
    <w:rsid w:val="001051A5"/>
    <w:rsid w:val="001076EE"/>
    <w:rsid w:val="00111D8D"/>
    <w:rsid w:val="00142022"/>
    <w:rsid w:val="001513C8"/>
    <w:rsid w:val="001538AA"/>
    <w:rsid w:val="00167C36"/>
    <w:rsid w:val="00172EFB"/>
    <w:rsid w:val="0017372A"/>
    <w:rsid w:val="0018215F"/>
    <w:rsid w:val="001839F1"/>
    <w:rsid w:val="00187C24"/>
    <w:rsid w:val="00193B66"/>
    <w:rsid w:val="001A4583"/>
    <w:rsid w:val="001A749F"/>
    <w:rsid w:val="001D5E07"/>
    <w:rsid w:val="001D7F3F"/>
    <w:rsid w:val="001F71C5"/>
    <w:rsid w:val="0020050A"/>
    <w:rsid w:val="00210A05"/>
    <w:rsid w:val="002157C2"/>
    <w:rsid w:val="00222FE0"/>
    <w:rsid w:val="00246C01"/>
    <w:rsid w:val="002546F3"/>
    <w:rsid w:val="00281A96"/>
    <w:rsid w:val="002970C0"/>
    <w:rsid w:val="002A035A"/>
    <w:rsid w:val="002A10A5"/>
    <w:rsid w:val="002A26DB"/>
    <w:rsid w:val="002B7DA2"/>
    <w:rsid w:val="002C4E19"/>
    <w:rsid w:val="002C5C7A"/>
    <w:rsid w:val="002C68E6"/>
    <w:rsid w:val="002F2C01"/>
    <w:rsid w:val="0030125C"/>
    <w:rsid w:val="003012D5"/>
    <w:rsid w:val="0031336D"/>
    <w:rsid w:val="003135A9"/>
    <w:rsid w:val="00321CBD"/>
    <w:rsid w:val="003237F1"/>
    <w:rsid w:val="0032613C"/>
    <w:rsid w:val="00342FCD"/>
    <w:rsid w:val="0035053E"/>
    <w:rsid w:val="00353E79"/>
    <w:rsid w:val="00355171"/>
    <w:rsid w:val="00361CF1"/>
    <w:rsid w:val="0036233F"/>
    <w:rsid w:val="0036460B"/>
    <w:rsid w:val="00366CE8"/>
    <w:rsid w:val="0037137B"/>
    <w:rsid w:val="00374ABF"/>
    <w:rsid w:val="003829AD"/>
    <w:rsid w:val="00385187"/>
    <w:rsid w:val="0038636A"/>
    <w:rsid w:val="003A224F"/>
    <w:rsid w:val="003A23BA"/>
    <w:rsid w:val="003A51E9"/>
    <w:rsid w:val="003A5BBB"/>
    <w:rsid w:val="003B2AD2"/>
    <w:rsid w:val="003B6FFC"/>
    <w:rsid w:val="003C5C60"/>
    <w:rsid w:val="003E0CC8"/>
    <w:rsid w:val="003E4764"/>
    <w:rsid w:val="003F078D"/>
    <w:rsid w:val="003F2070"/>
    <w:rsid w:val="00403272"/>
    <w:rsid w:val="00403505"/>
    <w:rsid w:val="00403DCF"/>
    <w:rsid w:val="0040577A"/>
    <w:rsid w:val="00405E9F"/>
    <w:rsid w:val="00407DCC"/>
    <w:rsid w:val="00411DF6"/>
    <w:rsid w:val="00412DE4"/>
    <w:rsid w:val="004158CA"/>
    <w:rsid w:val="00420B55"/>
    <w:rsid w:val="00421469"/>
    <w:rsid w:val="00441A09"/>
    <w:rsid w:val="00442A4A"/>
    <w:rsid w:val="004436AB"/>
    <w:rsid w:val="00443D29"/>
    <w:rsid w:val="00447FA5"/>
    <w:rsid w:val="00450AEC"/>
    <w:rsid w:val="00452B0B"/>
    <w:rsid w:val="00457982"/>
    <w:rsid w:val="0047288C"/>
    <w:rsid w:val="00472EC3"/>
    <w:rsid w:val="00483987"/>
    <w:rsid w:val="00486BAC"/>
    <w:rsid w:val="00494188"/>
    <w:rsid w:val="00494240"/>
    <w:rsid w:val="004961F7"/>
    <w:rsid w:val="004B5A53"/>
    <w:rsid w:val="004C057B"/>
    <w:rsid w:val="004C18B3"/>
    <w:rsid w:val="004D00E4"/>
    <w:rsid w:val="004D1C4B"/>
    <w:rsid w:val="004D676F"/>
    <w:rsid w:val="004E1DCA"/>
    <w:rsid w:val="00500B02"/>
    <w:rsid w:val="00503988"/>
    <w:rsid w:val="00510F74"/>
    <w:rsid w:val="0051495C"/>
    <w:rsid w:val="0053780F"/>
    <w:rsid w:val="005404AE"/>
    <w:rsid w:val="005425B1"/>
    <w:rsid w:val="00551547"/>
    <w:rsid w:val="005517D8"/>
    <w:rsid w:val="00552D1D"/>
    <w:rsid w:val="005634D3"/>
    <w:rsid w:val="00564369"/>
    <w:rsid w:val="00566787"/>
    <w:rsid w:val="005826CC"/>
    <w:rsid w:val="005830D1"/>
    <w:rsid w:val="005977D6"/>
    <w:rsid w:val="005C3485"/>
    <w:rsid w:val="005D1C03"/>
    <w:rsid w:val="005E0C90"/>
    <w:rsid w:val="005E4CE7"/>
    <w:rsid w:val="005E6F96"/>
    <w:rsid w:val="005F0533"/>
    <w:rsid w:val="00600815"/>
    <w:rsid w:val="0060262D"/>
    <w:rsid w:val="00603F0E"/>
    <w:rsid w:val="00607099"/>
    <w:rsid w:val="00607158"/>
    <w:rsid w:val="006214D8"/>
    <w:rsid w:val="00624D02"/>
    <w:rsid w:val="00627225"/>
    <w:rsid w:val="006408A0"/>
    <w:rsid w:val="006448B5"/>
    <w:rsid w:val="00653224"/>
    <w:rsid w:val="00656ACC"/>
    <w:rsid w:val="00660FAE"/>
    <w:rsid w:val="00664A46"/>
    <w:rsid w:val="0069042A"/>
    <w:rsid w:val="006974E3"/>
    <w:rsid w:val="006B2460"/>
    <w:rsid w:val="006B394C"/>
    <w:rsid w:val="006B7C07"/>
    <w:rsid w:val="006C158F"/>
    <w:rsid w:val="006C1E6D"/>
    <w:rsid w:val="006C2DFE"/>
    <w:rsid w:val="006D7E92"/>
    <w:rsid w:val="006E2479"/>
    <w:rsid w:val="006E4161"/>
    <w:rsid w:val="006F0963"/>
    <w:rsid w:val="006F2210"/>
    <w:rsid w:val="006F638D"/>
    <w:rsid w:val="007146C7"/>
    <w:rsid w:val="00715BB8"/>
    <w:rsid w:val="00722E24"/>
    <w:rsid w:val="00730729"/>
    <w:rsid w:val="00740F04"/>
    <w:rsid w:val="007506DB"/>
    <w:rsid w:val="00756561"/>
    <w:rsid w:val="00762079"/>
    <w:rsid w:val="007643D3"/>
    <w:rsid w:val="00765282"/>
    <w:rsid w:val="007677EE"/>
    <w:rsid w:val="00767964"/>
    <w:rsid w:val="00773A47"/>
    <w:rsid w:val="00775E14"/>
    <w:rsid w:val="007825EE"/>
    <w:rsid w:val="00785585"/>
    <w:rsid w:val="00785DF8"/>
    <w:rsid w:val="00791C62"/>
    <w:rsid w:val="00794635"/>
    <w:rsid w:val="007A250A"/>
    <w:rsid w:val="007B020D"/>
    <w:rsid w:val="007B1278"/>
    <w:rsid w:val="007B719D"/>
    <w:rsid w:val="007C17A8"/>
    <w:rsid w:val="007C190A"/>
    <w:rsid w:val="007C25AF"/>
    <w:rsid w:val="007C4A60"/>
    <w:rsid w:val="007D0AE1"/>
    <w:rsid w:val="007D208D"/>
    <w:rsid w:val="007D2882"/>
    <w:rsid w:val="007D48EE"/>
    <w:rsid w:val="007D7310"/>
    <w:rsid w:val="007E38C2"/>
    <w:rsid w:val="007E7410"/>
    <w:rsid w:val="007E7863"/>
    <w:rsid w:val="00811CC3"/>
    <w:rsid w:val="00815C79"/>
    <w:rsid w:val="00816CC6"/>
    <w:rsid w:val="0082274D"/>
    <w:rsid w:val="0083698A"/>
    <w:rsid w:val="008401C1"/>
    <w:rsid w:val="00840C06"/>
    <w:rsid w:val="008416BD"/>
    <w:rsid w:val="00844E4B"/>
    <w:rsid w:val="008454E9"/>
    <w:rsid w:val="00845FF1"/>
    <w:rsid w:val="0085071F"/>
    <w:rsid w:val="00853F8A"/>
    <w:rsid w:val="008628D1"/>
    <w:rsid w:val="00865AC9"/>
    <w:rsid w:val="00865F01"/>
    <w:rsid w:val="008809E9"/>
    <w:rsid w:val="00881A63"/>
    <w:rsid w:val="0088363B"/>
    <w:rsid w:val="008902A2"/>
    <w:rsid w:val="00896657"/>
    <w:rsid w:val="00897A2A"/>
    <w:rsid w:val="008A1720"/>
    <w:rsid w:val="008A7447"/>
    <w:rsid w:val="008B0CE9"/>
    <w:rsid w:val="008B1A79"/>
    <w:rsid w:val="008C4FE4"/>
    <w:rsid w:val="008D22E1"/>
    <w:rsid w:val="008D7634"/>
    <w:rsid w:val="008E2EDF"/>
    <w:rsid w:val="008E536B"/>
    <w:rsid w:val="008F5965"/>
    <w:rsid w:val="00906153"/>
    <w:rsid w:val="009068CC"/>
    <w:rsid w:val="00911F1A"/>
    <w:rsid w:val="00922B9D"/>
    <w:rsid w:val="009236C9"/>
    <w:rsid w:val="00935AC1"/>
    <w:rsid w:val="009376AC"/>
    <w:rsid w:val="00943E42"/>
    <w:rsid w:val="00947AB2"/>
    <w:rsid w:val="0095764F"/>
    <w:rsid w:val="00970D79"/>
    <w:rsid w:val="0097480E"/>
    <w:rsid w:val="009758DC"/>
    <w:rsid w:val="009906B1"/>
    <w:rsid w:val="00997DF7"/>
    <w:rsid w:val="009A5DB2"/>
    <w:rsid w:val="009C1B0B"/>
    <w:rsid w:val="009D7587"/>
    <w:rsid w:val="009E6816"/>
    <w:rsid w:val="009E69D4"/>
    <w:rsid w:val="009F0E2D"/>
    <w:rsid w:val="009F2BE0"/>
    <w:rsid w:val="00A02E43"/>
    <w:rsid w:val="00A04146"/>
    <w:rsid w:val="00A179F9"/>
    <w:rsid w:val="00A333AC"/>
    <w:rsid w:val="00A37A76"/>
    <w:rsid w:val="00A37B6B"/>
    <w:rsid w:val="00A40A7E"/>
    <w:rsid w:val="00A42E68"/>
    <w:rsid w:val="00A70483"/>
    <w:rsid w:val="00A74149"/>
    <w:rsid w:val="00A826EA"/>
    <w:rsid w:val="00A83543"/>
    <w:rsid w:val="00A8792C"/>
    <w:rsid w:val="00AA02D0"/>
    <w:rsid w:val="00AA433F"/>
    <w:rsid w:val="00AA6607"/>
    <w:rsid w:val="00AB1C7E"/>
    <w:rsid w:val="00AD1D58"/>
    <w:rsid w:val="00AD5EAC"/>
    <w:rsid w:val="00AE1867"/>
    <w:rsid w:val="00AF340C"/>
    <w:rsid w:val="00AF386B"/>
    <w:rsid w:val="00AF3BFF"/>
    <w:rsid w:val="00B0699F"/>
    <w:rsid w:val="00B16960"/>
    <w:rsid w:val="00B33829"/>
    <w:rsid w:val="00B4020D"/>
    <w:rsid w:val="00B418FB"/>
    <w:rsid w:val="00B43E14"/>
    <w:rsid w:val="00B52E62"/>
    <w:rsid w:val="00B53CF5"/>
    <w:rsid w:val="00B62FDF"/>
    <w:rsid w:val="00B71D5B"/>
    <w:rsid w:val="00B7380F"/>
    <w:rsid w:val="00B747D8"/>
    <w:rsid w:val="00B8306D"/>
    <w:rsid w:val="00B877B7"/>
    <w:rsid w:val="00B9179F"/>
    <w:rsid w:val="00B924AB"/>
    <w:rsid w:val="00B96F7C"/>
    <w:rsid w:val="00BA025F"/>
    <w:rsid w:val="00BA6C73"/>
    <w:rsid w:val="00BB7965"/>
    <w:rsid w:val="00BC3FDA"/>
    <w:rsid w:val="00BC5DB0"/>
    <w:rsid w:val="00BD1BB0"/>
    <w:rsid w:val="00BD58EA"/>
    <w:rsid w:val="00BE6916"/>
    <w:rsid w:val="00BE7924"/>
    <w:rsid w:val="00BF1D11"/>
    <w:rsid w:val="00BF2F09"/>
    <w:rsid w:val="00BF4640"/>
    <w:rsid w:val="00BF72C8"/>
    <w:rsid w:val="00C040B8"/>
    <w:rsid w:val="00C11A06"/>
    <w:rsid w:val="00C3025D"/>
    <w:rsid w:val="00C52DDC"/>
    <w:rsid w:val="00C53283"/>
    <w:rsid w:val="00C54FD0"/>
    <w:rsid w:val="00C70AFF"/>
    <w:rsid w:val="00C717B0"/>
    <w:rsid w:val="00C76901"/>
    <w:rsid w:val="00C778B6"/>
    <w:rsid w:val="00C804FB"/>
    <w:rsid w:val="00C87496"/>
    <w:rsid w:val="00C87C59"/>
    <w:rsid w:val="00C93DE8"/>
    <w:rsid w:val="00C944D4"/>
    <w:rsid w:val="00C9473B"/>
    <w:rsid w:val="00CA76FA"/>
    <w:rsid w:val="00CB24BB"/>
    <w:rsid w:val="00CB65A4"/>
    <w:rsid w:val="00CB7EE6"/>
    <w:rsid w:val="00CC4005"/>
    <w:rsid w:val="00CE7751"/>
    <w:rsid w:val="00D006E8"/>
    <w:rsid w:val="00D06595"/>
    <w:rsid w:val="00D101CD"/>
    <w:rsid w:val="00D126C7"/>
    <w:rsid w:val="00D13DB5"/>
    <w:rsid w:val="00D2366C"/>
    <w:rsid w:val="00D342CE"/>
    <w:rsid w:val="00D373F3"/>
    <w:rsid w:val="00D45B2D"/>
    <w:rsid w:val="00D54DE6"/>
    <w:rsid w:val="00D6069E"/>
    <w:rsid w:val="00D61F97"/>
    <w:rsid w:val="00D65D88"/>
    <w:rsid w:val="00D727E7"/>
    <w:rsid w:val="00D73360"/>
    <w:rsid w:val="00D821F9"/>
    <w:rsid w:val="00D8512E"/>
    <w:rsid w:val="00D942F1"/>
    <w:rsid w:val="00D95712"/>
    <w:rsid w:val="00DA0EA9"/>
    <w:rsid w:val="00DA2221"/>
    <w:rsid w:val="00DA3820"/>
    <w:rsid w:val="00DA402F"/>
    <w:rsid w:val="00DA57AB"/>
    <w:rsid w:val="00DB5CB9"/>
    <w:rsid w:val="00DC154F"/>
    <w:rsid w:val="00DD56CC"/>
    <w:rsid w:val="00DD5F36"/>
    <w:rsid w:val="00DE5374"/>
    <w:rsid w:val="00DF6635"/>
    <w:rsid w:val="00E0576E"/>
    <w:rsid w:val="00E11C2D"/>
    <w:rsid w:val="00E43C8D"/>
    <w:rsid w:val="00E43ED3"/>
    <w:rsid w:val="00E43FE0"/>
    <w:rsid w:val="00E50567"/>
    <w:rsid w:val="00E54716"/>
    <w:rsid w:val="00E55A1F"/>
    <w:rsid w:val="00E76CEE"/>
    <w:rsid w:val="00E83A44"/>
    <w:rsid w:val="00E912DA"/>
    <w:rsid w:val="00EA0AFA"/>
    <w:rsid w:val="00EC1203"/>
    <w:rsid w:val="00EC1E01"/>
    <w:rsid w:val="00ED0290"/>
    <w:rsid w:val="00ED18FB"/>
    <w:rsid w:val="00ED31FA"/>
    <w:rsid w:val="00ED529A"/>
    <w:rsid w:val="00EE1E1F"/>
    <w:rsid w:val="00EE50F8"/>
    <w:rsid w:val="00EE577A"/>
    <w:rsid w:val="00EE7FF0"/>
    <w:rsid w:val="00EF6E7C"/>
    <w:rsid w:val="00F07DD9"/>
    <w:rsid w:val="00F170AD"/>
    <w:rsid w:val="00F17CA8"/>
    <w:rsid w:val="00F426A4"/>
    <w:rsid w:val="00F66E87"/>
    <w:rsid w:val="00F8183D"/>
    <w:rsid w:val="00F91EB9"/>
    <w:rsid w:val="00FA0AB5"/>
    <w:rsid w:val="00FA115C"/>
    <w:rsid w:val="00FA1D18"/>
    <w:rsid w:val="00FA59E5"/>
    <w:rsid w:val="00FB0E8A"/>
    <w:rsid w:val="00FB2755"/>
    <w:rsid w:val="00FC1C5D"/>
    <w:rsid w:val="00FD0004"/>
    <w:rsid w:val="00FD755D"/>
    <w:rsid w:val="00FE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703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A3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32A1"/>
    <w:rPr>
      <w:sz w:val="20"/>
      <w:szCs w:val="20"/>
    </w:rPr>
  </w:style>
  <w:style w:type="character" w:styleId="EndnoteReference">
    <w:name w:val="endnote reference"/>
    <w:basedOn w:val="DefaultParagraphFont"/>
    <w:uiPriority w:val="99"/>
    <w:semiHidden/>
    <w:unhideWhenUsed/>
    <w:rsid w:val="000A32A1"/>
    <w:rPr>
      <w:vertAlign w:val="superscript"/>
    </w:rPr>
  </w:style>
  <w:style w:type="paragraph" w:styleId="ListParagraph">
    <w:name w:val="List Paragraph"/>
    <w:basedOn w:val="Normal"/>
    <w:uiPriority w:val="34"/>
    <w:qFormat/>
    <w:rsid w:val="00FA1D18"/>
    <w:pPr>
      <w:ind w:left="720"/>
      <w:contextualSpacing/>
    </w:pPr>
  </w:style>
  <w:style w:type="paragraph" w:styleId="BalloonText">
    <w:name w:val="Balloon Text"/>
    <w:basedOn w:val="Normal"/>
    <w:link w:val="BalloonTextChar"/>
    <w:uiPriority w:val="99"/>
    <w:semiHidden/>
    <w:unhideWhenUsed/>
    <w:rsid w:val="007C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7A8"/>
    <w:rPr>
      <w:rFonts w:ascii="Tahoma" w:hAnsi="Tahoma" w:cs="Tahoma"/>
      <w:sz w:val="16"/>
      <w:szCs w:val="16"/>
    </w:rPr>
  </w:style>
  <w:style w:type="table" w:styleId="TableGrid">
    <w:name w:val="Table Grid"/>
    <w:basedOn w:val="TableNormal"/>
    <w:uiPriority w:val="59"/>
    <w:rsid w:val="000F4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623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881A63"/>
    <w:rPr>
      <w:sz w:val="16"/>
      <w:szCs w:val="16"/>
    </w:rPr>
  </w:style>
  <w:style w:type="paragraph" w:styleId="CommentText">
    <w:name w:val="annotation text"/>
    <w:basedOn w:val="Normal"/>
    <w:link w:val="CommentTextChar"/>
    <w:uiPriority w:val="99"/>
    <w:semiHidden/>
    <w:unhideWhenUsed/>
    <w:rsid w:val="00881A63"/>
    <w:pPr>
      <w:spacing w:line="240" w:lineRule="auto"/>
    </w:pPr>
    <w:rPr>
      <w:sz w:val="20"/>
      <w:szCs w:val="20"/>
    </w:rPr>
  </w:style>
  <w:style w:type="character" w:customStyle="1" w:styleId="CommentTextChar">
    <w:name w:val="Comment Text Char"/>
    <w:basedOn w:val="DefaultParagraphFont"/>
    <w:link w:val="CommentText"/>
    <w:uiPriority w:val="99"/>
    <w:semiHidden/>
    <w:rsid w:val="00881A63"/>
    <w:rPr>
      <w:sz w:val="20"/>
      <w:szCs w:val="20"/>
    </w:rPr>
  </w:style>
  <w:style w:type="paragraph" w:styleId="CommentSubject">
    <w:name w:val="annotation subject"/>
    <w:basedOn w:val="CommentText"/>
    <w:next w:val="CommentText"/>
    <w:link w:val="CommentSubjectChar"/>
    <w:uiPriority w:val="99"/>
    <w:semiHidden/>
    <w:unhideWhenUsed/>
    <w:rsid w:val="00881A63"/>
    <w:rPr>
      <w:b/>
      <w:bCs/>
    </w:rPr>
  </w:style>
  <w:style w:type="character" w:customStyle="1" w:styleId="CommentSubjectChar">
    <w:name w:val="Comment Subject Char"/>
    <w:basedOn w:val="CommentTextChar"/>
    <w:link w:val="CommentSubject"/>
    <w:uiPriority w:val="99"/>
    <w:semiHidden/>
    <w:rsid w:val="00881A63"/>
    <w:rPr>
      <w:b/>
      <w:bCs/>
      <w:sz w:val="20"/>
      <w:szCs w:val="20"/>
    </w:rPr>
  </w:style>
  <w:style w:type="paragraph" w:styleId="Revision">
    <w:name w:val="Revision"/>
    <w:hidden/>
    <w:uiPriority w:val="99"/>
    <w:semiHidden/>
    <w:rsid w:val="00321CBD"/>
    <w:pPr>
      <w:spacing w:after="0" w:line="240" w:lineRule="auto"/>
    </w:pPr>
  </w:style>
  <w:style w:type="paragraph" w:styleId="Header">
    <w:name w:val="header"/>
    <w:basedOn w:val="Normal"/>
    <w:link w:val="HeaderChar"/>
    <w:uiPriority w:val="99"/>
    <w:unhideWhenUsed/>
    <w:rsid w:val="00D61F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1F97"/>
  </w:style>
  <w:style w:type="paragraph" w:styleId="Footer">
    <w:name w:val="footer"/>
    <w:basedOn w:val="Normal"/>
    <w:link w:val="FooterChar"/>
    <w:uiPriority w:val="99"/>
    <w:unhideWhenUsed/>
    <w:rsid w:val="00D61F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1F97"/>
  </w:style>
  <w:style w:type="paragraph" w:styleId="FootnoteText">
    <w:name w:val="footnote text"/>
    <w:basedOn w:val="Normal"/>
    <w:link w:val="FootnoteTextChar"/>
    <w:unhideWhenUsed/>
    <w:rsid w:val="00627225"/>
    <w:pPr>
      <w:spacing w:after="0" w:line="240" w:lineRule="auto"/>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rsid w:val="00627225"/>
    <w:rPr>
      <w:rFonts w:ascii="Times New Roman" w:eastAsia="Times New Roman" w:hAnsi="Times New Roman" w:cs="Times New Roman"/>
      <w:sz w:val="20"/>
      <w:szCs w:val="20"/>
      <w:lang w:val="lv-LV" w:eastAsia="lv-LV"/>
    </w:rPr>
  </w:style>
  <w:style w:type="character" w:customStyle="1" w:styleId="Heading1Char">
    <w:name w:val="Heading 1 Char"/>
    <w:basedOn w:val="DefaultParagraphFont"/>
    <w:link w:val="Heading1"/>
    <w:uiPriority w:val="9"/>
    <w:rsid w:val="002F2C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F2C01"/>
    <w:pPr>
      <w:outlineLvl w:val="9"/>
    </w:pPr>
    <w:rPr>
      <w:lang w:eastAsia="ja-JP"/>
    </w:rPr>
  </w:style>
  <w:style w:type="paragraph" w:styleId="TOC1">
    <w:name w:val="toc 1"/>
    <w:basedOn w:val="Normal"/>
    <w:next w:val="Normal"/>
    <w:autoRedefine/>
    <w:uiPriority w:val="39"/>
    <w:semiHidden/>
    <w:unhideWhenUsed/>
    <w:rsid w:val="002F2C01"/>
    <w:pPr>
      <w:spacing w:after="100"/>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2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0A32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32A1"/>
    <w:rPr>
      <w:sz w:val="20"/>
      <w:szCs w:val="20"/>
    </w:rPr>
  </w:style>
  <w:style w:type="character" w:styleId="EndnoteReference">
    <w:name w:val="endnote reference"/>
    <w:basedOn w:val="DefaultParagraphFont"/>
    <w:uiPriority w:val="99"/>
    <w:semiHidden/>
    <w:unhideWhenUsed/>
    <w:rsid w:val="000A32A1"/>
    <w:rPr>
      <w:vertAlign w:val="superscript"/>
    </w:rPr>
  </w:style>
  <w:style w:type="paragraph" w:styleId="ListParagraph">
    <w:name w:val="List Paragraph"/>
    <w:basedOn w:val="Normal"/>
    <w:uiPriority w:val="34"/>
    <w:qFormat/>
    <w:rsid w:val="00FA1D18"/>
    <w:pPr>
      <w:ind w:left="720"/>
      <w:contextualSpacing/>
    </w:pPr>
  </w:style>
  <w:style w:type="paragraph" w:styleId="BalloonText">
    <w:name w:val="Balloon Text"/>
    <w:basedOn w:val="Normal"/>
    <w:link w:val="BalloonTextChar"/>
    <w:uiPriority w:val="99"/>
    <w:semiHidden/>
    <w:unhideWhenUsed/>
    <w:rsid w:val="007C1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7A8"/>
    <w:rPr>
      <w:rFonts w:ascii="Tahoma" w:hAnsi="Tahoma" w:cs="Tahoma"/>
      <w:sz w:val="16"/>
      <w:szCs w:val="16"/>
    </w:rPr>
  </w:style>
  <w:style w:type="table" w:styleId="TableGrid">
    <w:name w:val="Table Grid"/>
    <w:basedOn w:val="TableNormal"/>
    <w:uiPriority w:val="59"/>
    <w:rsid w:val="000F4C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3">
    <w:name w:val="Light Shading Accent 3"/>
    <w:basedOn w:val="TableNormal"/>
    <w:uiPriority w:val="60"/>
    <w:rsid w:val="003623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CommentReference">
    <w:name w:val="annotation reference"/>
    <w:basedOn w:val="DefaultParagraphFont"/>
    <w:uiPriority w:val="99"/>
    <w:semiHidden/>
    <w:unhideWhenUsed/>
    <w:rsid w:val="00881A63"/>
    <w:rPr>
      <w:sz w:val="16"/>
      <w:szCs w:val="16"/>
    </w:rPr>
  </w:style>
  <w:style w:type="paragraph" w:styleId="CommentText">
    <w:name w:val="annotation text"/>
    <w:basedOn w:val="Normal"/>
    <w:link w:val="CommentTextChar"/>
    <w:uiPriority w:val="99"/>
    <w:semiHidden/>
    <w:unhideWhenUsed/>
    <w:rsid w:val="00881A63"/>
    <w:pPr>
      <w:spacing w:line="240" w:lineRule="auto"/>
    </w:pPr>
    <w:rPr>
      <w:sz w:val="20"/>
      <w:szCs w:val="20"/>
    </w:rPr>
  </w:style>
  <w:style w:type="character" w:customStyle="1" w:styleId="CommentTextChar">
    <w:name w:val="Comment Text Char"/>
    <w:basedOn w:val="DefaultParagraphFont"/>
    <w:link w:val="CommentText"/>
    <w:uiPriority w:val="99"/>
    <w:semiHidden/>
    <w:rsid w:val="00881A63"/>
    <w:rPr>
      <w:sz w:val="20"/>
      <w:szCs w:val="20"/>
    </w:rPr>
  </w:style>
  <w:style w:type="paragraph" w:styleId="CommentSubject">
    <w:name w:val="annotation subject"/>
    <w:basedOn w:val="CommentText"/>
    <w:next w:val="CommentText"/>
    <w:link w:val="CommentSubjectChar"/>
    <w:uiPriority w:val="99"/>
    <w:semiHidden/>
    <w:unhideWhenUsed/>
    <w:rsid w:val="00881A63"/>
    <w:rPr>
      <w:b/>
      <w:bCs/>
    </w:rPr>
  </w:style>
  <w:style w:type="character" w:customStyle="1" w:styleId="CommentSubjectChar">
    <w:name w:val="Comment Subject Char"/>
    <w:basedOn w:val="CommentTextChar"/>
    <w:link w:val="CommentSubject"/>
    <w:uiPriority w:val="99"/>
    <w:semiHidden/>
    <w:rsid w:val="00881A63"/>
    <w:rPr>
      <w:b/>
      <w:bCs/>
      <w:sz w:val="20"/>
      <w:szCs w:val="20"/>
    </w:rPr>
  </w:style>
  <w:style w:type="paragraph" w:styleId="Revision">
    <w:name w:val="Revision"/>
    <w:hidden/>
    <w:uiPriority w:val="99"/>
    <w:semiHidden/>
    <w:rsid w:val="00321CBD"/>
    <w:pPr>
      <w:spacing w:after="0" w:line="240" w:lineRule="auto"/>
    </w:pPr>
  </w:style>
  <w:style w:type="paragraph" w:styleId="Header">
    <w:name w:val="header"/>
    <w:basedOn w:val="Normal"/>
    <w:link w:val="HeaderChar"/>
    <w:uiPriority w:val="99"/>
    <w:unhideWhenUsed/>
    <w:rsid w:val="00D61F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D61F97"/>
  </w:style>
  <w:style w:type="paragraph" w:styleId="Footer">
    <w:name w:val="footer"/>
    <w:basedOn w:val="Normal"/>
    <w:link w:val="FooterChar"/>
    <w:uiPriority w:val="99"/>
    <w:unhideWhenUsed/>
    <w:rsid w:val="00D61F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D61F97"/>
  </w:style>
  <w:style w:type="paragraph" w:styleId="FootnoteText">
    <w:name w:val="footnote text"/>
    <w:basedOn w:val="Normal"/>
    <w:link w:val="FootnoteTextChar"/>
    <w:unhideWhenUsed/>
    <w:rsid w:val="00627225"/>
    <w:pPr>
      <w:spacing w:after="0" w:line="240" w:lineRule="auto"/>
    </w:pPr>
    <w:rPr>
      <w:rFonts w:ascii="Times New Roman" w:eastAsia="Times New Roman" w:hAnsi="Times New Roman" w:cs="Times New Roman"/>
      <w:sz w:val="20"/>
      <w:szCs w:val="20"/>
      <w:lang w:val="lv-LV" w:eastAsia="lv-LV"/>
    </w:rPr>
  </w:style>
  <w:style w:type="character" w:customStyle="1" w:styleId="FootnoteTextChar">
    <w:name w:val="Footnote Text Char"/>
    <w:basedOn w:val="DefaultParagraphFont"/>
    <w:link w:val="FootnoteText"/>
    <w:rsid w:val="00627225"/>
    <w:rPr>
      <w:rFonts w:ascii="Times New Roman" w:eastAsia="Times New Roman" w:hAnsi="Times New Roman" w:cs="Times New Roman"/>
      <w:sz w:val="20"/>
      <w:szCs w:val="20"/>
      <w:lang w:val="lv-LV" w:eastAsia="lv-LV"/>
    </w:rPr>
  </w:style>
  <w:style w:type="character" w:customStyle="1" w:styleId="Heading1Char">
    <w:name w:val="Heading 1 Char"/>
    <w:basedOn w:val="DefaultParagraphFont"/>
    <w:link w:val="Heading1"/>
    <w:uiPriority w:val="9"/>
    <w:rsid w:val="002F2C0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F2C01"/>
    <w:pPr>
      <w:outlineLvl w:val="9"/>
    </w:pPr>
    <w:rPr>
      <w:lang w:eastAsia="ja-JP"/>
    </w:rPr>
  </w:style>
  <w:style w:type="paragraph" w:styleId="TOC1">
    <w:name w:val="toc 1"/>
    <w:basedOn w:val="Normal"/>
    <w:next w:val="Normal"/>
    <w:autoRedefine/>
    <w:uiPriority w:val="39"/>
    <w:semiHidden/>
    <w:unhideWhenUsed/>
    <w:rsid w:val="002F2C01"/>
    <w:pPr>
      <w:spacing w:after="10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Samazināts Svars</c:v>
                </c:pt>
              </c:strCache>
            </c:strRef>
          </c:tx>
          <c:spPr>
            <a:solidFill>
              <a:srgbClr val="99CC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Sheet1!$B$2:$B$3</c:f>
              <c:numCache>
                <c:formatCode>General</c:formatCode>
                <c:ptCount val="2"/>
                <c:pt idx="0">
                  <c:v>4</c:v>
                </c:pt>
                <c:pt idx="1">
                  <c:v>2.2999999999999998</c:v>
                </c:pt>
              </c:numCache>
            </c:numRef>
          </c:val>
        </c:ser>
        <c:ser>
          <c:idx val="1"/>
          <c:order val="1"/>
          <c:tx>
            <c:strRef>
              <c:f>Sheet1!$C$1</c:f>
              <c:strCache>
                <c:ptCount val="1"/>
                <c:pt idx="0">
                  <c:v>Normāls svars</c:v>
                </c:pt>
              </c:strCache>
            </c:strRef>
          </c:tx>
          <c:spPr>
            <a:solidFill>
              <a:srgbClr val="0066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Sheet1!$C$2:$C$3</c:f>
              <c:numCache>
                <c:formatCode>General</c:formatCode>
                <c:ptCount val="2"/>
                <c:pt idx="0">
                  <c:v>81</c:v>
                </c:pt>
                <c:pt idx="1">
                  <c:v>47.1</c:v>
                </c:pt>
              </c:numCache>
            </c:numRef>
          </c:val>
        </c:ser>
        <c:ser>
          <c:idx val="2"/>
          <c:order val="2"/>
          <c:tx>
            <c:strRef>
              <c:f>Sheet1!$D$1</c:f>
              <c:strCache>
                <c:ptCount val="1"/>
                <c:pt idx="0">
                  <c:v>Palielināts svars</c:v>
                </c:pt>
              </c:strCache>
            </c:strRef>
          </c:tx>
          <c:spPr>
            <a:solidFill>
              <a:srgbClr val="008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Sheet1!$D$2:$D$3</c:f>
              <c:numCache>
                <c:formatCode>General</c:formatCode>
                <c:ptCount val="2"/>
                <c:pt idx="0">
                  <c:v>50</c:v>
                </c:pt>
                <c:pt idx="1">
                  <c:v>29.1</c:v>
                </c:pt>
              </c:numCache>
            </c:numRef>
          </c:val>
        </c:ser>
        <c:ser>
          <c:idx val="3"/>
          <c:order val="3"/>
          <c:tx>
            <c:strRef>
              <c:f>Sheet1!$E$1</c:f>
              <c:strCache>
                <c:ptCount val="1"/>
                <c:pt idx="0">
                  <c:v>Adipozitāte I</c:v>
                </c:pt>
              </c:strCache>
            </c:strRef>
          </c:tx>
          <c:spPr>
            <a:solidFill>
              <a:srgbClr val="0099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Sheet1!$E$2:$E$3</c:f>
              <c:numCache>
                <c:formatCode>General</c:formatCode>
                <c:ptCount val="2"/>
                <c:pt idx="0">
                  <c:v>26</c:v>
                </c:pt>
                <c:pt idx="1">
                  <c:v>15.1</c:v>
                </c:pt>
              </c:numCache>
            </c:numRef>
          </c:val>
        </c:ser>
        <c:ser>
          <c:idx val="4"/>
          <c:order val="4"/>
          <c:tx>
            <c:strRef>
              <c:f>Sheet1!$F$1</c:f>
              <c:strCache>
                <c:ptCount val="1"/>
                <c:pt idx="0">
                  <c:v>Adipozitāte II</c:v>
                </c:pt>
              </c:strCache>
            </c:strRef>
          </c:tx>
          <c:spPr>
            <a:solidFill>
              <a:srgbClr val="6699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Sheet1!$F$2:$F$3</c:f>
              <c:numCache>
                <c:formatCode>General</c:formatCode>
                <c:ptCount val="2"/>
                <c:pt idx="0">
                  <c:v>7</c:v>
                </c:pt>
                <c:pt idx="1">
                  <c:v>4.0999999999999996</c:v>
                </c:pt>
              </c:numCache>
            </c:numRef>
          </c:val>
        </c:ser>
        <c:ser>
          <c:idx val="5"/>
          <c:order val="5"/>
          <c:tx>
            <c:strRef>
              <c:f>Sheet1!$G$1</c:f>
              <c:strCache>
                <c:ptCount val="1"/>
                <c:pt idx="0">
                  <c:v>Adipozitāte III</c:v>
                </c:pt>
              </c:strCache>
            </c:strRef>
          </c:tx>
          <c:spPr>
            <a:solidFill>
              <a:srgbClr val="CCCC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Absolūti skaitļi</c:v>
                </c:pt>
                <c:pt idx="1">
                  <c:v>Procentuāli no visām sievietēm</c:v>
                </c:pt>
              </c:strCache>
            </c:strRef>
          </c:cat>
          <c:val>
            <c:numRef>
              <c:f>Sheet1!$G$2:$G$3</c:f>
              <c:numCache>
                <c:formatCode>General</c:formatCode>
                <c:ptCount val="2"/>
                <c:pt idx="0">
                  <c:v>4</c:v>
                </c:pt>
                <c:pt idx="1">
                  <c:v>2.2999999999999998</c:v>
                </c:pt>
              </c:numCache>
            </c:numRef>
          </c:val>
        </c:ser>
        <c:dLbls>
          <c:showLegendKey val="0"/>
          <c:showVal val="0"/>
          <c:showCatName val="0"/>
          <c:showSerName val="0"/>
          <c:showPercent val="0"/>
          <c:showBubbleSize val="0"/>
        </c:dLbls>
        <c:gapWidth val="150"/>
        <c:axId val="119535872"/>
        <c:axId val="119541760"/>
      </c:barChart>
      <c:catAx>
        <c:axId val="119535872"/>
        <c:scaling>
          <c:orientation val="minMax"/>
        </c:scaling>
        <c:delete val="0"/>
        <c:axPos val="b"/>
        <c:numFmt formatCode="General" sourceLinked="0"/>
        <c:majorTickMark val="none"/>
        <c:minorTickMark val="none"/>
        <c:tickLblPos val="nextTo"/>
        <c:crossAx val="119541760"/>
        <c:crosses val="autoZero"/>
        <c:auto val="1"/>
        <c:lblAlgn val="ctr"/>
        <c:lblOffset val="100"/>
        <c:noMultiLvlLbl val="0"/>
      </c:catAx>
      <c:valAx>
        <c:axId val="119541760"/>
        <c:scaling>
          <c:orientation val="minMax"/>
        </c:scaling>
        <c:delete val="0"/>
        <c:axPos val="l"/>
        <c:majorGridlines>
          <c:spPr>
            <a:ln>
              <a:noFill/>
            </a:ln>
          </c:spPr>
        </c:majorGridlines>
        <c:numFmt formatCode="General" sourceLinked="1"/>
        <c:majorTickMark val="none"/>
        <c:minorTickMark val="none"/>
        <c:tickLblPos val="nextTo"/>
        <c:crossAx val="119535872"/>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rgbClr val="99CC00"/>
              </a:solidFill>
            </c:spPr>
          </c:dPt>
          <c:dPt>
            <c:idx val="1"/>
            <c:bubble3D val="0"/>
            <c:spPr>
              <a:solidFill>
                <a:srgbClr val="008000"/>
              </a:solidFill>
            </c:spPr>
          </c:dPt>
          <c:dPt>
            <c:idx val="2"/>
            <c:bubble3D val="0"/>
            <c:spPr>
              <a:solidFill>
                <a:srgbClr val="009900"/>
              </a:solidFill>
            </c:spPr>
          </c:dPt>
          <c:dPt>
            <c:idx val="3"/>
            <c:bubble3D val="0"/>
            <c:spPr>
              <a:solidFill>
                <a:srgbClr val="669900"/>
              </a:solidFill>
            </c:spPr>
          </c:dPt>
          <c:dLbls>
            <c:dLbl>
              <c:idx val="0"/>
              <c:dLblPos val="outEnd"/>
              <c:showLegendKey val="0"/>
              <c:showVal val="1"/>
              <c:showCatName val="0"/>
              <c:showSerName val="0"/>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dLbl>
              <c:idx val="2"/>
              <c:dLblPos val="outEnd"/>
              <c:showLegendKey val="0"/>
              <c:showVal val="1"/>
              <c:showCatName val="0"/>
              <c:showSerName val="0"/>
              <c:showPercent val="0"/>
              <c:showBubbleSize val="0"/>
              <c:extLst>
                <c:ext xmlns:c15="http://schemas.microsoft.com/office/drawing/2012/chart" uri="{CE6537A1-D6FC-4f65-9D91-7224C49458BB}"/>
              </c:extLst>
            </c:dLbl>
            <c:dLbl>
              <c:idx val="3"/>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&lt; 3 mēneši</c:v>
                </c:pt>
                <c:pt idx="1">
                  <c:v>3-6 mēneši</c:v>
                </c:pt>
                <c:pt idx="2">
                  <c:v>4-12 mēneši</c:v>
                </c:pt>
                <c:pt idx="3">
                  <c:v>&gt; 12 mēneši</c:v>
                </c:pt>
              </c:strCache>
            </c:strRef>
          </c:cat>
          <c:val>
            <c:numRef>
              <c:f>Sheet1!$B$2:$B$5</c:f>
              <c:numCache>
                <c:formatCode>0.00%</c:formatCode>
                <c:ptCount val="4"/>
                <c:pt idx="0">
                  <c:v>9.9000000000000005E-2</c:v>
                </c:pt>
                <c:pt idx="1">
                  <c:v>0.39600000000000002</c:v>
                </c:pt>
                <c:pt idx="2">
                  <c:v>0.307</c:v>
                </c:pt>
                <c:pt idx="3">
                  <c:v>0.19800000000000001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Pt>
            <c:idx val="0"/>
            <c:bubble3D val="0"/>
            <c:spPr>
              <a:solidFill>
                <a:srgbClr val="99CC00"/>
              </a:solidFill>
            </c:spPr>
          </c:dPt>
          <c:dPt>
            <c:idx val="1"/>
            <c:bubble3D val="0"/>
            <c:spPr>
              <a:solidFill>
                <a:srgbClr val="008000"/>
              </a:solidFill>
            </c:spPr>
          </c:dPt>
          <c:dPt>
            <c:idx val="2"/>
            <c:bubble3D val="0"/>
            <c:spPr>
              <a:solidFill>
                <a:srgbClr val="009900"/>
              </a:solidFill>
            </c:spPr>
          </c:dPt>
          <c:dPt>
            <c:idx val="3"/>
            <c:bubble3D val="0"/>
            <c:spPr>
              <a:solidFill>
                <a:srgbClr val="669900"/>
              </a:solidFill>
            </c:spPr>
          </c:dPt>
          <c:dLbls>
            <c:dLbl>
              <c:idx val="0"/>
              <c:dLblPos val="outEnd"/>
              <c:showLegendKey val="0"/>
              <c:showVal val="1"/>
              <c:showCatName val="0"/>
              <c:showSerName val="0"/>
              <c:showPercent val="0"/>
              <c:showBubbleSize val="0"/>
              <c:extLst>
                <c:ext xmlns:c15="http://schemas.microsoft.com/office/drawing/2012/chart" uri="{CE6537A1-D6FC-4f65-9D91-7224C49458BB}"/>
              </c:extLst>
            </c:dLbl>
            <c:dLbl>
              <c:idx val="1"/>
              <c:dLblPos val="outEnd"/>
              <c:showLegendKey val="0"/>
              <c:showVal val="1"/>
              <c:showCatName val="0"/>
              <c:showSerName val="0"/>
              <c:showPercent val="0"/>
              <c:showBubbleSize val="0"/>
              <c:extLst>
                <c:ext xmlns:c15="http://schemas.microsoft.com/office/drawing/2012/chart" uri="{CE6537A1-D6FC-4f65-9D91-7224C49458BB}"/>
              </c:extLst>
            </c:dLbl>
            <c:dLbl>
              <c:idx val="2"/>
              <c:dLblPos val="outEnd"/>
              <c:showLegendKey val="0"/>
              <c:showVal val="1"/>
              <c:showCatName val="0"/>
              <c:showSerName val="0"/>
              <c:showPercent val="0"/>
              <c:showBubbleSize val="0"/>
              <c:extLst>
                <c:ext xmlns:c15="http://schemas.microsoft.com/office/drawing/2012/chart" uri="{CE6537A1-D6FC-4f65-9D91-7224C49458BB}"/>
              </c:extLst>
            </c:dLbl>
            <c:dLbl>
              <c:idx val="3"/>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Funkcionāls polips</c:v>
                </c:pt>
                <c:pt idx="1">
                  <c:v>Fibroadenomatozs polips</c:v>
                </c:pt>
                <c:pt idx="2">
                  <c:v>Atrofisks polips</c:v>
                </c:pt>
                <c:pt idx="3">
                  <c:v>Hiperplastisks polips</c:v>
                </c:pt>
              </c:strCache>
            </c:strRef>
          </c:cat>
          <c:val>
            <c:numRef>
              <c:f>Sheet1!$B$2:$B$5</c:f>
              <c:numCache>
                <c:formatCode>0.00%</c:formatCode>
                <c:ptCount val="4"/>
                <c:pt idx="0">
                  <c:v>3.7999999999999999E-2</c:v>
                </c:pt>
                <c:pt idx="1">
                  <c:v>0.73499999999999999</c:v>
                </c:pt>
                <c:pt idx="2">
                  <c:v>0.129</c:v>
                </c:pt>
                <c:pt idx="3">
                  <c:v>9.8000000000000004E-2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Normāls svars</c:v>
                </c:pt>
              </c:strCache>
            </c:strRef>
          </c:tx>
          <c:spPr>
            <a:solidFill>
              <a:srgbClr val="99CC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Ir sudzības</c:v>
                </c:pt>
                <c:pt idx="1">
                  <c:v>Nav sudzību</c:v>
                </c:pt>
              </c:strCache>
            </c:strRef>
          </c:cat>
          <c:val>
            <c:numRef>
              <c:f>Sheet1!$B$2:$B$3</c:f>
              <c:numCache>
                <c:formatCode>0.00%</c:formatCode>
                <c:ptCount val="2"/>
                <c:pt idx="0">
                  <c:v>0.76500000000000001</c:v>
                </c:pt>
                <c:pt idx="1">
                  <c:v>0.23499999999999999</c:v>
                </c:pt>
              </c:numCache>
            </c:numRef>
          </c:val>
        </c:ser>
        <c:ser>
          <c:idx val="1"/>
          <c:order val="1"/>
          <c:tx>
            <c:strRef>
              <c:f>Sheet1!$C$1</c:f>
              <c:strCache>
                <c:ptCount val="1"/>
                <c:pt idx="0">
                  <c:v>Palielināts svars</c:v>
                </c:pt>
              </c:strCache>
            </c:strRef>
          </c:tx>
          <c:spPr>
            <a:solidFill>
              <a:srgbClr val="0066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Ir sudzības</c:v>
                </c:pt>
                <c:pt idx="1">
                  <c:v>Nav sudzību</c:v>
                </c:pt>
              </c:strCache>
            </c:strRef>
          </c:cat>
          <c:val>
            <c:numRef>
              <c:f>Sheet1!$C$2:$C$3</c:f>
              <c:numCache>
                <c:formatCode>0.00%</c:formatCode>
                <c:ptCount val="2"/>
                <c:pt idx="0">
                  <c:v>0.83299999999999996</c:v>
                </c:pt>
                <c:pt idx="1">
                  <c:v>0.16700000000000001</c:v>
                </c:pt>
              </c:numCache>
            </c:numRef>
          </c:val>
        </c:ser>
        <c:dLbls>
          <c:showLegendKey val="0"/>
          <c:showVal val="0"/>
          <c:showCatName val="0"/>
          <c:showSerName val="0"/>
          <c:showPercent val="0"/>
          <c:showBubbleSize val="0"/>
        </c:dLbls>
        <c:gapWidth val="150"/>
        <c:axId val="124139776"/>
        <c:axId val="124145664"/>
      </c:barChart>
      <c:catAx>
        <c:axId val="124139776"/>
        <c:scaling>
          <c:orientation val="minMax"/>
        </c:scaling>
        <c:delete val="0"/>
        <c:axPos val="b"/>
        <c:numFmt formatCode="General" sourceLinked="0"/>
        <c:majorTickMark val="none"/>
        <c:minorTickMark val="none"/>
        <c:tickLblPos val="nextTo"/>
        <c:crossAx val="124145664"/>
        <c:crosses val="autoZero"/>
        <c:auto val="1"/>
        <c:lblAlgn val="ctr"/>
        <c:lblOffset val="100"/>
        <c:noMultiLvlLbl val="0"/>
      </c:catAx>
      <c:valAx>
        <c:axId val="124145664"/>
        <c:scaling>
          <c:orientation val="minMax"/>
        </c:scaling>
        <c:delete val="1"/>
        <c:axPos val="l"/>
        <c:majorGridlines>
          <c:spPr>
            <a:ln>
              <a:noFill/>
            </a:ln>
          </c:spPr>
        </c:majorGridlines>
        <c:numFmt formatCode="0.00%" sourceLinked="1"/>
        <c:majorTickMark val="none"/>
        <c:minorTickMark val="none"/>
        <c:tickLblPos val="nextTo"/>
        <c:crossAx val="124139776"/>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39BC8-B9BB-408D-9714-5E94417F2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37</Pages>
  <Words>8576</Words>
  <Characters>48886</Characters>
  <Application>Microsoft Office Word</Application>
  <DocSecurity>0</DocSecurity>
  <Lines>407</Lines>
  <Paragraphs>114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2015-06-13T11:12:00Z</dcterms:created>
  <dcterms:modified xsi:type="dcterms:W3CDTF">2015-06-14T20:59:00Z</dcterms:modified>
</cp:coreProperties>
</file>